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7"/>
        <w:jc w:val="right"/>
      </w:pPr>
      <w:r>
        <w:rPr>
          <w:sz w:val="28"/>
          <w:szCs w:val="28"/>
        </w:rPr>
        <w:t xml:space="preserve">                                          </w:t>
      </w:r>
      <w:r>
        <w:rPr>
          <w:highlight w:val="none"/>
        </w:rPr>
      </w:r>
      <w:r>
        <w:t xml:space="preserve">     </w:t>
      </w:r>
      <w:r>
        <w:t xml:space="preserve">УТВЕРЖДЕНА</w:t>
      </w:r>
      <w:r/>
      <w:r/>
    </w:p>
    <w:p>
      <w:pPr>
        <w:pStyle w:val="957"/>
        <w:jc w:val="right"/>
      </w:pPr>
      <w:r>
        <w:t xml:space="preserve">постановлением администрации</w:t>
      </w:r>
      <w:r/>
      <w:r/>
    </w:p>
    <w:p>
      <w:pPr>
        <w:pStyle w:val="957"/>
        <w:jc w:val="right"/>
      </w:pPr>
      <w:r>
        <w:t xml:space="preserve">Бутурлинского муниципального </w:t>
      </w:r>
      <w:r>
        <w:t xml:space="preserve">района</w:t>
      </w:r>
      <w:r/>
      <w:r/>
    </w:p>
    <w:p>
      <w:pPr>
        <w:pStyle w:val="957"/>
        <w:jc w:val="right"/>
      </w:pPr>
      <w:r>
        <w:t xml:space="preserve"> Нижегородской области</w:t>
      </w:r>
      <w:r/>
      <w:r/>
    </w:p>
    <w:p>
      <w:pPr>
        <w:pStyle w:val="957"/>
        <w:jc w:val="right"/>
      </w:pPr>
      <w:r>
        <w:t xml:space="preserve">от 01.10.2020№915</w:t>
      </w:r>
      <w:r/>
      <w:r/>
    </w:p>
    <w:p>
      <w:pPr>
        <w:pStyle w:val="957"/>
        <w:jc w:val="right"/>
      </w:pPr>
      <w:r>
        <w:t xml:space="preserve">в редакции постановления</w:t>
      </w:r>
      <w:r/>
      <w:r/>
    </w:p>
    <w:p>
      <w:pPr>
        <w:pStyle w:val="957"/>
        <w:jc w:val="right"/>
      </w:pPr>
      <w:r>
        <w:t xml:space="preserve">администрации</w:t>
      </w:r>
      <w:r/>
      <w:r/>
    </w:p>
    <w:p>
      <w:pPr>
        <w:pStyle w:val="957"/>
        <w:jc w:val="right"/>
      </w:pPr>
      <w:r>
        <w:t xml:space="preserve">Бутурлинского муниципального </w:t>
      </w:r>
      <w:r>
        <w:t xml:space="preserve">округа</w:t>
      </w:r>
      <w:r/>
      <w:r/>
    </w:p>
    <w:p>
      <w:pPr>
        <w:pStyle w:val="957"/>
        <w:jc w:val="right"/>
      </w:pPr>
      <w:r>
        <w:t xml:space="preserve"> Нижегородской области</w:t>
      </w:r>
      <w:r/>
      <w:r/>
    </w:p>
    <w:p>
      <w:pPr>
        <w:pStyle w:val="957"/>
        <w:jc w:val="right"/>
      </w:pPr>
      <w:r>
        <w:t xml:space="preserve">от 30.06.2026 </w:t>
      </w:r>
      <w:r>
        <w:t xml:space="preserve">№ </w:t>
      </w:r>
      <w:r>
        <w:t xml:space="preserve">764</w:t>
      </w:r>
      <w:r/>
    </w:p>
    <w:p>
      <w:pPr>
        <w:rPr>
          <w:highlight w:val="none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t xml:space="preserve">         </w:t>
      </w:r>
      <w:r/>
      <w:r/>
    </w:p>
    <w:p>
      <w:r>
        <w:rPr>
          <w:highlight w:val="none"/>
        </w:rPr>
      </w:r>
      <w:r>
        <w:rPr>
          <w:highlight w:val="none"/>
        </w:rPr>
      </w:r>
    </w:p>
    <w:p>
      <w:pPr>
        <w:pStyle w:val="957"/>
        <w:jc w:val="center"/>
        <w:rPr>
          <w:b/>
          <w:bCs/>
        </w:rPr>
      </w:pPr>
      <w:r>
        <w:rPr>
          <w:b/>
          <w:bCs/>
        </w:rPr>
        <w:t xml:space="preserve">АКТУАЛЬНАЯ РЕДАКЦИЯ</w:t>
      </w:r>
      <w:r>
        <w:rPr>
          <w:b/>
          <w:bCs/>
        </w:rPr>
      </w:r>
    </w:p>
    <w:p>
      <w:pPr>
        <w:pStyle w:val="957"/>
        <w:jc w:val="center"/>
        <w:outlineLvl w:val="0"/>
      </w:pPr>
      <w:r>
        <w:rPr>
          <w:b/>
        </w:rPr>
        <w:t xml:space="preserve">Муниципальной программы «Охрана окружающ</w:t>
      </w:r>
      <w:r>
        <w:rPr>
          <w:b/>
        </w:rPr>
        <w:t xml:space="preserve">ей среды в Бутурлинском   муниципальном  округе</w:t>
      </w:r>
      <w:r>
        <w:rPr>
          <w:b/>
        </w:rPr>
        <w:t xml:space="preserve"> Нижегородской области</w:t>
      </w:r>
      <w:r>
        <w:rPr>
          <w:b/>
        </w:rPr>
        <w:t xml:space="preserve">»</w:t>
      </w:r>
      <w:r/>
    </w:p>
    <w:p>
      <w:pPr>
        <w:pStyle w:val="957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7"/>
        <w:jc w:val="center"/>
        <w:rPr>
          <w:b/>
          <w:caps/>
        </w:rPr>
      </w:pPr>
      <w:r>
        <w:rPr>
          <w:b/>
        </w:rPr>
        <w:t xml:space="preserve">1.</w:t>
      </w:r>
      <w:r>
        <w:rPr>
          <w:b/>
          <w:caps/>
        </w:rPr>
        <w:t xml:space="preserve">ПАСПОРТ программы</w:t>
      </w:r>
      <w:r>
        <w:rPr>
          <w:b/>
          <w:caps/>
        </w:rPr>
      </w:r>
      <w:r>
        <w:rPr>
          <w:b/>
          <w:caps/>
        </w:rPr>
      </w:r>
    </w:p>
    <w:p>
      <w:pPr>
        <w:pStyle w:val="957"/>
        <w:jc w:val="center"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  <w:r>
        <w:rPr>
          <w:b/>
          <w:caps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75"/>
        <w:gridCol w:w="6542"/>
        <w:gridCol w:w="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  <w:rPr>
                <w:b/>
                <w:caps/>
              </w:rPr>
            </w:pPr>
            <w:r>
              <w:t xml:space="preserve">Муниципальный  заказчик-координатор Программы              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p>
            <w:pPr>
              <w:pStyle w:val="957"/>
              <w:jc w:val="both"/>
              <w:rPr>
                <w:b/>
                <w:caps/>
              </w:rPr>
            </w:pPr>
            <w:r>
              <w:t xml:space="preserve">Администрация Бут</w:t>
            </w:r>
            <w:r>
              <w:t xml:space="preserve">урлинского муниципального округа</w:t>
            </w:r>
            <w:r>
              <w:t xml:space="preserve"> Нижегородской области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  <w:jc w:val="both"/>
              <w:rPr>
                <w:b/>
                <w:caps/>
              </w:rPr>
            </w:pPr>
            <w:r>
              <w:t xml:space="preserve">Соисполнители Программы                         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p>
            <w:pPr>
              <w:pStyle w:val="957"/>
              <w:jc w:val="both"/>
            </w:pPr>
            <w:r>
              <w:t xml:space="preserve">- </w:t>
            </w:r>
            <w:r>
              <w:t xml:space="preserve">Управление по благоустройству и комплексному содержанию территорий</w:t>
            </w:r>
            <w:r>
              <w:t xml:space="preserve"> администрации</w:t>
            </w:r>
            <w:r>
              <w:t xml:space="preserve"> Бутурлинского муниципального округа</w:t>
            </w:r>
            <w:r/>
          </w:p>
          <w:p>
            <w:pPr>
              <w:pStyle w:val="957"/>
              <w:jc w:val="both"/>
              <w:rPr>
                <w:lang w:eastAsia="en-US"/>
              </w:rPr>
            </w:pPr>
            <w:r>
              <w:t xml:space="preserve">- </w:t>
            </w:r>
            <w:r>
              <w:t xml:space="preserve">Отдел</w:t>
            </w:r>
            <w:r>
              <w:t xml:space="preserve"> </w:t>
            </w:r>
            <w:r>
              <w:t xml:space="preserve"> </w:t>
            </w:r>
            <w:r>
              <w:t xml:space="preserve">строительства</w:t>
            </w:r>
            <w:r>
              <w:t xml:space="preserve"> администрации Бутурлинс</w:t>
            </w:r>
            <w:r>
              <w:t xml:space="preserve">кого муниципального округа</w:t>
            </w:r>
            <w:r>
              <w:t xml:space="preserve">;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957"/>
              <w:jc w:val="both"/>
            </w:pPr>
            <w:r>
              <w:t xml:space="preserve">- Отдел экономики, прогнозирования и инвестиционной политики администрации Бутурлинского муниципального округа;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  <w:jc w:val="both"/>
              <w:rPr>
                <w:b/>
                <w:caps/>
              </w:rPr>
            </w:pPr>
            <w:r>
              <w:t xml:space="preserve">Основные мероприятия Программы                          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p>
            <w:pPr>
              <w:pStyle w:val="978"/>
              <w:jc w:val="both"/>
            </w:pPr>
            <w:r>
              <w:t xml:space="preserve">1 «Сохранение ,воспроизводство и рациональное использование объектов животного мира</w:t>
            </w:r>
            <w:r>
              <w:t xml:space="preserve"> Бутурлинского муниципального округа Нижегородской области</w:t>
            </w:r>
            <w:r>
              <w:t xml:space="preserve">»</w:t>
            </w:r>
            <w:r/>
          </w:p>
          <w:p>
            <w:pPr>
              <w:pStyle w:val="978"/>
              <w:jc w:val="both"/>
            </w:pPr>
            <w:r>
              <w:t xml:space="preserve"> 2 «Формирование системы обращения с отходами производства и потребления» </w:t>
            </w:r>
            <w:r/>
          </w:p>
          <w:p>
            <w:pPr>
              <w:pStyle w:val="978"/>
              <w:jc w:val="both"/>
            </w:pPr>
            <w:r>
              <w:t xml:space="preserve"> 3 «Сохранение и развитие водных объектов общего пользования»</w:t>
            </w:r>
            <w:r/>
          </w:p>
          <w:p>
            <w:pPr>
              <w:pStyle w:val="978"/>
              <w:jc w:val="both"/>
            </w:pPr>
            <w:r>
              <w:t xml:space="preserve"> 4 "Формирование экологической культур</w:t>
            </w:r>
            <w:r>
              <w:t xml:space="preserve">ы населения Бутурлинского муниципального округа</w:t>
            </w:r>
            <w:r>
              <w:t xml:space="preserve"> Нижегородской области</w:t>
            </w:r>
            <w:r>
              <w:t xml:space="preserve">".</w:t>
            </w:r>
            <w:r/>
          </w:p>
          <w:p>
            <w:pPr>
              <w:pStyle w:val="957"/>
              <w:ind w:left="720" w:hanging="705"/>
              <w:jc w:val="both"/>
              <w:rPr>
                <w:caps/>
              </w:rPr>
            </w:pPr>
            <w:r>
              <w:t xml:space="preserve">  5  "Обеспечение реализации Программы"</w:t>
            </w:r>
            <w:r>
              <w:rPr>
                <w:caps/>
              </w:rPr>
            </w:r>
            <w:r>
              <w:rPr>
                <w:cap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Цели Программы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p>
            <w:pPr>
              <w:pStyle w:val="957"/>
              <w:jc w:val="both"/>
              <w:rPr>
                <w:b/>
                <w:caps/>
              </w:rPr>
            </w:pPr>
            <w:r>
              <w:t xml:space="preserve">    Повышение уровня экологической безопасности и сохранение природных систем, повышение качества окружающей среды и формиров</w:t>
            </w:r>
            <w:r>
              <w:t xml:space="preserve">ание имиджа Бутурлинского муниципального округа</w:t>
            </w:r>
            <w:r>
              <w:t xml:space="preserve"> Нижегородской области как экологически чистой территории.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  <w:jc w:val="both"/>
            </w:pPr>
            <w:r>
              <w:t xml:space="preserve">Задачи Программы </w:t>
            </w:r>
            <w:r/>
          </w:p>
          <w:p>
            <w:pPr>
              <w:pStyle w:val="957"/>
              <w:rPr>
                <w:b/>
                <w:caps/>
              </w:rPr>
            </w:pPr>
            <w:r>
              <w:rPr>
                <w:b/>
                <w:caps/>
              </w:rPr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p>
            <w:pPr>
              <w:pStyle w:val="957"/>
              <w:jc w:val="both"/>
            </w:pPr>
            <w:r>
              <w:t xml:space="preserve">  1 Сохранение и восстановление биологического разнообразия на территории Б</w:t>
            </w:r>
            <w:r>
              <w:t xml:space="preserve">утурлинского муниципального округа</w:t>
            </w:r>
            <w:r>
              <w:t xml:space="preserve"> Нижегородской области</w:t>
            </w:r>
            <w:r/>
          </w:p>
          <w:p>
            <w:pPr>
              <w:pStyle w:val="957"/>
              <w:jc w:val="both"/>
            </w:pPr>
            <w:r>
              <w:t xml:space="preserve">   2 Предотвращения вредного воздействия отходов производства и потребления</w:t>
            </w:r>
            <w:r>
              <w:t xml:space="preserve">, жидких бытовых отходов</w:t>
            </w:r>
            <w:r>
              <w:t xml:space="preserve"> на здоровье человека и окружающую среду</w:t>
            </w:r>
            <w:r/>
          </w:p>
          <w:p>
            <w:pPr>
              <w:pStyle w:val="957"/>
              <w:jc w:val="both"/>
            </w:pPr>
            <w:r>
              <w:t xml:space="preserve">     3 Сохранение водных объектов в состоянии , обеспечивающие экологически благоприятные условия жизни населения.</w:t>
            </w:r>
            <w:r/>
          </w:p>
          <w:p>
            <w:pPr>
              <w:pStyle w:val="957"/>
              <w:jc w:val="both"/>
            </w:pPr>
            <w:r>
              <w:t xml:space="preserve"> 4 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  <w:rPr>
                <w:b/>
                <w:caps/>
              </w:rPr>
            </w:pPr>
            <w:r>
              <w:t xml:space="preserve">Этапы и сроки реализации Программы 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202</w:t>
            </w:r>
            <w:r>
              <w:t xml:space="preserve">1</w:t>
            </w:r>
            <w:r>
              <w:t xml:space="preserve">-202</w:t>
            </w:r>
            <w:r>
              <w:t xml:space="preserve">8</w:t>
            </w:r>
            <w:r>
              <w:t xml:space="preserve"> годы</w:t>
            </w:r>
            <w:r/>
          </w:p>
          <w:p>
            <w:pPr>
              <w:pStyle w:val="957"/>
              <w:rPr>
                <w:b/>
                <w:caps/>
              </w:rPr>
            </w:pPr>
            <w:r>
              <w:t xml:space="preserve">Программа реализуется в один этап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  <w:jc w:val="both"/>
              <w:rPr>
                <w:b/>
                <w:caps/>
              </w:rPr>
            </w:pPr>
            <w:r>
              <w:t xml:space="preserve">Объемы бюджетных ассигнований Программы за счет средств районного бюджета (в разбивке по подпрограммам)                  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113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gridAfter w:val="1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6366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bCs/>
                    </w:rPr>
                    <w:t xml:space="preserve">Программа "Охрана окружающей среды в Б</w:t>
                  </w:r>
                  <w:r>
                    <w:rPr>
                      <w:b/>
                      <w:bCs/>
                    </w:rPr>
                    <w:t xml:space="preserve">утурлинском муниципальном округе</w:t>
                  </w:r>
                  <w:r>
                    <w:rPr>
                      <w:b/>
                      <w:bCs/>
                    </w:rPr>
                    <w:t xml:space="preserve"> Нижегор</w:t>
                  </w:r>
                  <w:r>
                    <w:rPr>
                      <w:b/>
                      <w:bCs/>
                    </w:rPr>
                    <w:t xml:space="preserve">одской области</w:t>
                  </w:r>
                  <w:r>
                    <w:rPr>
                      <w:b/>
                      <w:bCs/>
                    </w:rPr>
                    <w:t xml:space="preserve">" по годам (тыс. рублей</w:t>
                  </w:r>
                  <w:r>
                    <w:t xml:space="preserve">)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t xml:space="preserve">Всего, в том числе: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              </w:t>
                  </w:r>
                  <w:r>
                    <w:rPr>
                      <w:b/>
                    </w:rPr>
                    <w:t xml:space="preserve">35819,88714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2021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ind w:firstLine="0"/>
                    <w:jc w:val="left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      678,97514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79"/>
                    <w:ind w:firstLine="0"/>
                    <w:jc w:val="center"/>
                    <w:widowControl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 xml:space="preserve">5279,21300</w:t>
                  </w:r>
                  <w:r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3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13243,874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4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12945,12500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</w:t>
                  </w:r>
                  <w:r>
                    <w:rPr>
                      <w:b/>
                    </w:rPr>
                    <w:t xml:space="preserve">5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922</w:t>
                  </w:r>
                  <w:r>
                    <w:rPr>
                      <w:b/>
                      <w:caps/>
                    </w:rPr>
                    <w:t xml:space="preserve">,</w:t>
                  </w:r>
                  <w:r>
                    <w:rPr>
                      <w:b/>
                      <w:caps/>
                    </w:rPr>
                    <w:t xml:space="preserve">3</w:t>
                  </w:r>
                  <w:r>
                    <w:rPr>
                      <w:b/>
                      <w:caps/>
                    </w:rPr>
                    <w:t xml:space="preserve">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1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</w:t>
                  </w:r>
                  <w:r>
                    <w:rPr>
                      <w:b/>
                    </w:rPr>
                    <w:t xml:space="preserve">6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1028,6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2027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1018,3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2028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823,5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</w:pPr>
                  <w:r/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</w:pPr>
                  <w:r/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gridAfter w:val="1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6366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Основное мероприятие 1 «</w:t>
                  </w:r>
                  <w:r>
                    <w:rPr>
                      <w:b/>
                    </w:rPr>
                    <w:t xml:space="preserve">Сохранение и восстановление биологического разнообразия на</w:t>
                  </w:r>
                  <w:r>
                    <w:rPr>
                      <w:b/>
                    </w:rPr>
                    <w:t xml:space="preserve"> территории Бутурлинского муниципального округа Нижегородской области</w:t>
                  </w:r>
                  <w:r>
                    <w:rPr>
                      <w:b/>
                    </w:rPr>
                    <w:t xml:space="preserve">»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  <w:tbl>
                  <w:tblPr>
                    <w:tblW w:w="0" w:type="auto"/>
                    <w:tblInd w:w="0" w:type="dxa"/>
                    <w:tblLayout w:type="autofit"/>
                    <w:tblCellMar>
                      <w:left w:w="108" w:type="dxa"/>
                      <w:top w:w="0" w:type="dxa"/>
                      <w:right w:w="108" w:type="dxa"/>
                      <w:bottom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30"/>
                    <w:gridCol w:w="3030"/>
                  </w:tblGrid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Всего, </w:t>
                        </w:r>
                        <w:r>
                          <w:rPr>
                            <w:bCs/>
                          </w:rPr>
                          <w:t xml:space="preserve">в том числе</w:t>
                        </w:r>
                        <w:r>
                          <w:rPr>
                            <w:bCs/>
                          </w:rPr>
                        </w:r>
                        <w:r>
                          <w:rPr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 xml:space="preserve">81,3000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2021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5,00000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</w:t>
                        </w:r>
                        <w:r>
                          <w:rPr>
                            <w:b/>
                            <w:bCs/>
                          </w:rPr>
                          <w:t xml:space="preserve">2</w:t>
                        </w:r>
                        <w:r>
                          <w:rPr>
                            <w:b/>
                            <w:bCs/>
                          </w:rPr>
                          <w:t xml:space="preserve">2</w:t>
                        </w:r>
                        <w:r>
                          <w:rPr>
                            <w:bCs/>
                          </w:rPr>
                        </w:r>
                        <w:r>
                          <w:rPr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5,00000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</w:t>
                        </w:r>
                        <w:r>
                          <w:rPr>
                            <w:b/>
                            <w:bCs/>
                          </w:rPr>
                          <w:t xml:space="preserve">2</w:t>
                        </w:r>
                        <w:r>
                          <w:rPr>
                            <w:b/>
                            <w:bCs/>
                          </w:rPr>
                          <w:t xml:space="preserve">3</w:t>
                        </w:r>
                        <w:r>
                          <w:rPr>
                            <w:bCs/>
                          </w:rPr>
                        </w:r>
                        <w:r>
                          <w:rPr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</w:t>
                        </w:r>
                        <w:r>
                          <w:rPr>
                            <w:b/>
                            <w:bCs/>
                          </w:rPr>
                          <w:t xml:space="preserve">,0</w:t>
                        </w:r>
                        <w:r>
                          <w:rPr>
                            <w:b/>
                            <w:bCs/>
                          </w:rPr>
                          <w:t xml:space="preserve">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4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</w:t>
                        </w:r>
                        <w:r>
                          <w:rPr>
                            <w:b/>
                            <w:bCs/>
                          </w:rPr>
                          <w:t xml:space="preserve">,0</w:t>
                        </w:r>
                        <w:r>
                          <w:rPr>
                            <w:b/>
                            <w:bCs/>
                          </w:rPr>
                          <w:t xml:space="preserve">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5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71</w:t>
                        </w:r>
                        <w:r>
                          <w:rPr>
                            <w:b/>
                            <w:bCs/>
                          </w:rPr>
                          <w:t xml:space="preserve">,</w:t>
                        </w:r>
                        <w:r>
                          <w:rPr>
                            <w:b/>
                            <w:bCs/>
                          </w:rPr>
                          <w:t xml:space="preserve">3</w:t>
                        </w:r>
                        <w:r>
                          <w:rPr>
                            <w:b/>
                            <w:bCs/>
                          </w:rPr>
                          <w:t xml:space="preserve">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30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6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</w:t>
                        </w:r>
                        <w:r>
                          <w:rPr>
                            <w:b/>
                            <w:bCs/>
                          </w:rPr>
                          <w:t xml:space="preserve">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225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2027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</w:t>
                        </w:r>
                        <w:r>
                          <w:rPr>
                            <w:b/>
                            <w:bCs/>
                          </w:rPr>
                          <w:t xml:space="preserve">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225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2028</w:t>
                        </w:r>
                        <w:r>
                          <w:rPr>
                            <w:b/>
                          </w:rPr>
                        </w:r>
                        <w:r>
                          <w:rPr>
                            <w:b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caps/>
                          </w:rPr>
                        </w:pPr>
                        <w:r>
                          <w:rPr>
                            <w:b/>
                            <w:caps/>
                          </w:rPr>
                          <w:t xml:space="preserve">0,000</w:t>
                        </w:r>
                        <w:r>
                          <w:rPr>
                            <w:b/>
                            <w:caps/>
                          </w:rPr>
                        </w:r>
                        <w:r>
                          <w:rPr>
                            <w:b/>
                            <w:caps/>
                          </w:rPr>
                        </w:r>
                      </w:p>
                    </w:tc>
                  </w:tr>
                </w:tbl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Основное мероприятие 2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</w:rPr>
                    <w:t xml:space="preserve">«Формирование системы обращения с отходами производства и потребления»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  <w:tbl>
                  <w:tblPr>
                    <w:tblW w:w="0" w:type="auto"/>
                    <w:tblInd w:w="0" w:type="dxa"/>
                    <w:tblLayout w:type="autofit"/>
                    <w:tblCellMar>
                      <w:left w:w="108" w:type="dxa"/>
                      <w:top w:w="0" w:type="dxa"/>
                      <w:right w:w="108" w:type="dxa"/>
                      <w:bottom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30"/>
                    <w:gridCol w:w="3030"/>
                  </w:tblGrid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Всего, в том числе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 xml:space="preserve">34717,60019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2021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673,97514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2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5274,21300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3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13243,874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4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1</w:t>
                        </w:r>
                        <w:r>
                          <w:rPr>
                            <w:b/>
                            <w:bCs/>
                          </w:rPr>
                          <w:t xml:space="preserve">1804,12105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5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 xml:space="preserve">851</w:t>
                        </w:r>
                        <w:r>
                          <w:rPr>
                            <w:b/>
                          </w:rPr>
                          <w:t xml:space="preserve">,0000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00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6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 xml:space="preserve">1028,6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255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2027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</w:rPr>
                          <w:t xml:space="preserve">1018,3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255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2028</w:t>
                        </w:r>
                        <w:r>
                          <w:rPr>
                            <w:b/>
                          </w:rPr>
                        </w:r>
                        <w:r>
                          <w:rPr>
                            <w:b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caps/>
                          </w:rPr>
                        </w:pPr>
                        <w:r>
                          <w:rPr>
                            <w:b/>
                            <w:caps/>
                          </w:rPr>
                          <w:t xml:space="preserve">823,5</w:t>
                        </w:r>
                        <w:r>
                          <w:rPr>
                            <w:b/>
                            <w:caps/>
                          </w:rPr>
                        </w:r>
                        <w:r>
                          <w:rPr>
                            <w:b/>
                            <w:caps/>
                          </w:rPr>
                        </w:r>
                      </w:p>
                    </w:tc>
                  </w:tr>
                </w:tbl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Основное мероприятие 3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</w:rPr>
                    <w:t xml:space="preserve">«Сохранение и развитие водных объектов общего пользования»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  <w:tbl>
                  <w:tblPr>
                    <w:tblW w:w="0" w:type="auto"/>
                    <w:tblInd w:w="0" w:type="dxa"/>
                    <w:tblLayout w:type="autofit"/>
                    <w:tblCellMar>
                      <w:left w:w="108" w:type="dxa"/>
                      <w:top w:w="0" w:type="dxa"/>
                      <w:right w:w="108" w:type="dxa"/>
                      <w:bottom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30"/>
                    <w:gridCol w:w="3030"/>
                  </w:tblGrid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Всего, в том числе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812</w:t>
                        </w:r>
                        <w:r>
                          <w:rPr>
                            <w:b/>
                            <w:bCs/>
                          </w:rPr>
                          <w:t xml:space="preserve">,0</w:t>
                        </w:r>
                        <w:r>
                          <w:rPr>
                            <w:b/>
                            <w:bCs/>
                          </w:rPr>
                          <w:t xml:space="preserve">0</w:t>
                        </w:r>
                        <w:r>
                          <w:rPr>
                            <w:b/>
                            <w:bCs/>
                          </w:rPr>
                          <w:t xml:space="preserve">395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2021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0,00000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2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0,0</w:t>
                        </w:r>
                        <w:r>
                          <w:rPr>
                            <w:b/>
                            <w:bCs/>
                          </w:rPr>
                          <w:t xml:space="preserve">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3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0,0</w:t>
                        </w:r>
                        <w:r>
                          <w:rPr>
                            <w:b/>
                            <w:bCs/>
                          </w:rPr>
                          <w:t xml:space="preserve">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4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8</w:t>
                        </w:r>
                        <w:r>
                          <w:rPr>
                            <w:b/>
                            <w:bCs/>
                          </w:rPr>
                          <w:t xml:space="preserve">12,00395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/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5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0,0</w:t>
                        </w:r>
                        <w:r>
                          <w:rPr>
                            <w:b/>
                            <w:bCs/>
                          </w:rPr>
                          <w:t xml:space="preserve">00000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285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</w:t>
                        </w:r>
                        <w:r>
                          <w:rPr>
                            <w:b/>
                            <w:bCs/>
                          </w:rPr>
                          <w:t xml:space="preserve">6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0,0</w:t>
                        </w:r>
                        <w:r>
                          <w:rPr>
                            <w:b/>
                            <w:bCs/>
                          </w:rPr>
                          <w:t xml:space="preserve">00000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270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2027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0,00000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270"/>
                    </w:trPr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2028</w:t>
                        </w:r>
                        <w:r>
                          <w:rPr>
                            <w:b/>
                          </w:rPr>
                        </w:r>
                        <w:r>
                          <w:rPr>
                            <w:b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tcW w:w="3030" w:type="dxa"/>
                        <w:vAlign w:val="top"/>
                        <w:textDirection w:val="lrTb"/>
                        <w:noWrap w:val="false"/>
                      </w:tcPr>
                      <w:p>
                        <w:pPr>
                          <w:pStyle w:val="957"/>
                          <w:jc w:val="center"/>
                          <w:rPr>
                            <w:b/>
                            <w:caps/>
                          </w:rPr>
                        </w:pPr>
                        <w:r>
                          <w:rPr>
                            <w:b/>
                            <w:caps/>
                          </w:rPr>
                          <w:t xml:space="preserve">0,000</w:t>
                        </w:r>
                        <w:r>
                          <w:rPr>
                            <w:b/>
                            <w:caps/>
                          </w:rPr>
                        </w:r>
                        <w:r>
                          <w:rPr>
                            <w:b/>
                            <w:caps/>
                          </w:rPr>
                        </w:r>
                      </w:p>
                    </w:tc>
                  </w:tr>
                </w:tbl>
                <w:p>
                  <w:pPr>
                    <w:pStyle w:val="957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</w:r>
                </w:p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bCs/>
                    </w:rPr>
                    <w:t xml:space="preserve">Основное мероприятие  4 "Формирование экологической культуры населения Бутурлинского района"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t xml:space="preserve">Всего, в том числе: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rPr>
                      <w:b/>
                    </w:rPr>
                  </w:pPr>
                  <w:r>
                    <w:rPr>
                      <w:b/>
                    </w:rPr>
                    <w:t xml:space="preserve">2021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ind w:firstLine="0"/>
                    <w:jc w:val="left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          0,00000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3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4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rPr>
                      <w:b/>
                    </w:rPr>
                  </w:pPr>
                  <w:r>
                    <w:rPr>
                      <w:b/>
                    </w:rPr>
                    <w:t xml:space="preserve">202</w:t>
                  </w:r>
                  <w:r>
                    <w:rPr>
                      <w:b/>
                    </w:rPr>
                    <w:t xml:space="preserve">5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8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rPr>
                      <w:b/>
                    </w:rPr>
                  </w:pPr>
                  <w:r>
                    <w:rPr>
                      <w:b/>
                    </w:rPr>
                    <w:t xml:space="preserve">202</w:t>
                  </w:r>
                  <w:r>
                    <w:rPr>
                      <w:b/>
                    </w:rPr>
                    <w:t xml:space="preserve">6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5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rPr>
                      <w:b/>
                    </w:rPr>
                  </w:pPr>
                  <w:r>
                    <w:rPr>
                      <w:b/>
                    </w:rPr>
                    <w:t xml:space="preserve">2027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5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2028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gridAfter w:val="1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6366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bCs/>
                    </w:rPr>
                    <w:t xml:space="preserve">Основное мероприятие 5 "Обеспечение реализации Программы"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t xml:space="preserve">Всего, в том числе: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2021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3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 xml:space="preserve">20</w:t>
                  </w:r>
                  <w:r>
                    <w:rPr>
                      <w:b/>
                    </w:rPr>
                    <w:t xml:space="preserve">2</w:t>
                  </w:r>
                  <w:r>
                    <w:rPr>
                      <w:b/>
                    </w:rPr>
                    <w:t xml:space="preserve">4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</w:t>
                  </w:r>
                  <w:r>
                    <w:rPr>
                      <w:b/>
                    </w:rPr>
                    <w:t xml:space="preserve">5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8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</w:t>
                  </w:r>
                  <w:r>
                    <w:rPr>
                      <w:b/>
                    </w:rPr>
                    <w:t xml:space="preserve">6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</w:t>
                  </w:r>
                  <w:r>
                    <w:rPr>
                      <w:b/>
                      <w:caps/>
                    </w:rPr>
                    <w:t xml:space="preserve">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7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2027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0,00000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7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2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2028</w:t>
                  </w: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204" w:type="dxa"/>
                  <w:vAlign w:val="top"/>
                  <w:textDirection w:val="lrTb"/>
                  <w:noWrap w:val="false"/>
                </w:tcPr>
                <w:p>
                  <w:pPr>
                    <w:pStyle w:val="957"/>
                    <w:jc w:val="center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 xml:space="preserve">0,000</w:t>
                  </w:r>
                  <w:r>
                    <w:rPr>
                      <w:b/>
                      <w:caps/>
                    </w:rPr>
                  </w:r>
                  <w:r>
                    <w:rPr>
                      <w:b/>
                      <w:caps/>
                    </w:rPr>
                  </w:r>
                </w:p>
              </w:tc>
            </w:tr>
          </w:tbl>
          <w:p>
            <w:pPr>
              <w:pStyle w:val="957"/>
              <w:jc w:val="both"/>
              <w:rPr>
                <w:b/>
                <w:caps/>
              </w:rPr>
            </w:pPr>
            <w:r>
              <w:rPr>
                <w:b/>
                <w:caps/>
              </w:rPr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pct"/>
            <w:vAlign w:val="top"/>
            <w:textDirection w:val="lrTb"/>
            <w:noWrap w:val="false"/>
          </w:tcPr>
          <w:p>
            <w:pPr>
              <w:pStyle w:val="957"/>
              <w:jc w:val="both"/>
              <w:rPr>
                <w:b/>
                <w:caps/>
              </w:rPr>
            </w:pPr>
            <w:r>
              <w:t xml:space="preserve">Индикаторы достижения цели и показатели непосредственных результатов   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7" w:type="pct"/>
            <w:vAlign w:val="top"/>
            <w:textDirection w:val="lrTb"/>
            <w:noWrap w:val="false"/>
          </w:tcPr>
          <w:p>
            <w:pPr>
              <w:pStyle w:val="9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Индикаторы достижения цели: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Основное мероприятие  1 </w:t>
            </w:r>
            <w:r>
              <w:rPr>
                <w:b/>
              </w:rPr>
              <w:t xml:space="preserve">Сохранение и восстановление биологического разнообразия на</w:t>
            </w:r>
            <w:r>
              <w:rPr>
                <w:b/>
              </w:rPr>
              <w:t xml:space="preserve"> территории Бутурлинского муниципального округа Нижегородской области</w:t>
            </w:r>
            <w:r>
              <w:rPr>
                <w:b/>
              </w:rPr>
              <w:t xml:space="preserve">.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t xml:space="preserve">Увеличение доли количества видов  и их численности животного и растительного мира на 5%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Основное мероприятие  2</w:t>
            </w:r>
            <w:r>
              <w:rPr>
                <w:b/>
              </w:rPr>
              <w:t xml:space="preserve">«Формирование системы обращения с отходами производства и потребления»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Доля площади ликвидированных объектов накопленного экологич</w:t>
            </w:r>
            <w:r>
              <w:rPr>
                <w:bCs/>
              </w:rPr>
              <w:t xml:space="preserve">еского ущерба (от общей площади</w:t>
            </w:r>
            <w:r>
              <w:rPr>
                <w:bCs/>
              </w:rPr>
              <w:t xml:space="preserve">, занятой объектами нак</w:t>
            </w:r>
            <w:r>
              <w:rPr>
                <w:bCs/>
              </w:rPr>
              <w:t xml:space="preserve">опленного экологического ущерба</w:t>
            </w:r>
            <w:r>
              <w:rPr>
                <w:bCs/>
              </w:rPr>
              <w:t xml:space="preserve">, предполагаемых для ликвидации)   100%</w:t>
            </w:r>
            <w:r>
              <w:rPr>
                <w:bCs/>
              </w:rPr>
              <w:t xml:space="preserve">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rPr>
                <w:bCs/>
              </w:rPr>
              <w:t xml:space="preserve"> Доля обустроенных контейнерных площадок( к общему количеству контейнерных площадок), в процентах 100%;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rPr>
                <w:bCs/>
              </w:rPr>
              <w:t xml:space="preserve">Доля приобретенных контейнеров(к общему количеству контейнеров) в процентах 100%.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 3 </w:t>
            </w:r>
            <w:r>
              <w:rPr>
                <w:b/>
              </w:rPr>
              <w:t xml:space="preserve">«Сохранение и развитие водных объектов общего пользования»</w:t>
            </w:r>
            <w:r>
              <w:rPr>
                <w:bCs/>
              </w:rPr>
              <w:t xml:space="preserve"> Доля гидротехнических сооружений принятых на баланс организаций , в процентах  100 %,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 4 "Формирование экологической культур</w:t>
            </w:r>
            <w:r>
              <w:rPr>
                <w:b/>
                <w:bCs/>
              </w:rPr>
              <w:t xml:space="preserve">ы населения Бутурлинского муниципального округа</w:t>
            </w:r>
            <w:r>
              <w:rPr>
                <w:b/>
                <w:bCs/>
              </w:rPr>
              <w:t xml:space="preserve">"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Доля населения , активно участвующая в мероприятиях по формированию благоприятной окружающей среды , в % от общего числа населения района –5 %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</w:pPr>
            <w:r/>
            <w:r/>
          </w:p>
          <w:p>
            <w:pPr>
              <w:pStyle w:val="9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 результате реализации Программы будут достигнуты следующие непосредственные результаты: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7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Основное мероприятие  1 </w:t>
            </w:r>
            <w:r>
              <w:rPr>
                <w:b/>
              </w:rPr>
              <w:t xml:space="preserve">Сохранение и восстановление биологического разнообразия на</w:t>
            </w:r>
            <w:r>
              <w:rPr>
                <w:b/>
              </w:rPr>
              <w:t xml:space="preserve"> территории Бутурлинского муниципального округа Нижегородской области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t xml:space="preserve">Увеличение количество видов  и их численности животного и растительного мира.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78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7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Основное мероприятие  2</w:t>
            </w:r>
            <w:r>
              <w:rPr>
                <w:b/>
              </w:rPr>
              <w:t xml:space="preserve">«Формирование системы обращения с отходами производства и потребления»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Количе</w:t>
            </w:r>
            <w:r>
              <w:rPr>
                <w:bCs/>
              </w:rPr>
              <w:t xml:space="preserve">ство ликвидированных свалок, шт. 12;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rPr>
                <w:bCs/>
              </w:rPr>
              <w:t xml:space="preserve"> Обустроено </w:t>
            </w:r>
            <w:r>
              <w:rPr>
                <w:bCs/>
              </w:rPr>
              <w:t xml:space="preserve">контейнерных площадок, шт.324;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rPr>
                <w:bCs/>
              </w:rPr>
              <w:t xml:space="preserve">  Приобретено контейнеров, шт</w:t>
            </w:r>
            <w:r>
              <w:rPr>
                <w:bCs/>
              </w:rPr>
              <w:t xml:space="preserve">, 687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57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 3</w:t>
            </w:r>
            <w:r>
              <w:rPr>
                <w:b/>
              </w:rPr>
              <w:t xml:space="preserve">«Сохранение и развитие водных объектов общего пользования»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ГТС водных объектов  принятых на баланс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8"/>
              <w:jc w:val="both"/>
              <w:rPr>
                <w:bCs/>
              </w:rPr>
            </w:pPr>
            <w:r>
              <w:t xml:space="preserve"> организаций 12 шт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978"/>
              <w:jc w:val="both"/>
            </w:pPr>
            <w:r>
              <w:rPr>
                <w:b/>
                <w:bCs/>
              </w:rPr>
              <w:t xml:space="preserve"> </w:t>
            </w:r>
            <w:r/>
          </w:p>
          <w:p>
            <w:pPr>
              <w:pStyle w:val="978"/>
              <w:jc w:val="both"/>
            </w:pPr>
            <w:r>
              <w:rPr>
                <w:b/>
                <w:bCs/>
              </w:rPr>
              <w:t xml:space="preserve">Основное мероприятие  4 "Формирование экологической культур</w:t>
            </w:r>
            <w:r>
              <w:rPr>
                <w:b/>
                <w:bCs/>
              </w:rPr>
              <w:t xml:space="preserve">ы населения Бутурлинского муниципального округа Нижегородской области</w:t>
            </w:r>
            <w:r>
              <w:rPr>
                <w:b/>
                <w:bCs/>
              </w:rPr>
              <w:t xml:space="preserve">":</w:t>
            </w:r>
            <w:r/>
          </w:p>
          <w:p>
            <w:pPr>
              <w:pStyle w:val="978"/>
              <w:jc w:val="both"/>
              <w:rPr>
                <w:b/>
                <w:caps/>
              </w:rPr>
            </w:pPr>
            <w:r>
              <w:t xml:space="preserve">- проведение мероприятий по экологическому образованию и просвещению населения - не менее 8 в год с общим охватом населения не менее 3000 человек</w:t>
            </w: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975" w:type="pct"/>
            <w:vAlign w:val="top"/>
            <w:textDirection w:val="lrTb"/>
            <w:noWrap w:val="false"/>
          </w:tcPr>
          <w:p>
            <w:pPr>
              <w:pStyle w:val="975"/>
              <w:ind w:left="-3585"/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ТЕКСТ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8"/>
              <w:jc w:val="center"/>
            </w:pPr>
            <w:r>
              <w:rPr>
                <w:b/>
              </w:rPr>
              <w:t xml:space="preserve">2.1. </w:t>
            </w:r>
            <w:r>
              <w:rPr>
                <w:b/>
                <w:bCs/>
              </w:rPr>
              <w:t xml:space="preserve">Характеристика текущего состояния</w:t>
            </w:r>
            <w:r>
              <w:t xml:space="preserve"> </w:t>
            </w:r>
            <w:r/>
          </w:p>
          <w:p>
            <w:pPr>
              <w:pStyle w:val="979"/>
              <w:ind w:left="-1100"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8"/>
              <w:ind w:firstLine="300"/>
              <w:jc w:val="both"/>
            </w:pPr>
            <w:r>
              <w:t xml:space="preserve">  Одной из главных задач на современном этапе развития России является формирование системы мер по обеспечению устойчивог</w:t>
            </w:r>
            <w:r>
              <w:t xml:space="preserve">о развития, базирующихся на разработке и внедрении новых и максимальном использовании имеющихся экологически безопасных, энерго- и ресурсосберегающих, мало- и безотходных технологий. При этом особое внимание уделяется созданию правовых, организационных и э</w:t>
            </w:r>
            <w:r>
              <w:t xml:space="preserve">кономических условий экологической переориентации экономики, социальной сферы и систем жизнеобеспечения в соответствии с требованиями рационального использования всех видов ресурсов, сохранения и улучшения состояния окружающей среды и природных комплексов.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Основы государственной политики в области экологического развития Российской Федерации на период до 2030 года, утвержденные Президентом Российской Федерации 30 апреля 2012 года, определяют </w:t>
            </w:r>
            <w:r>
              <w:t xml:space="preserve">в качестве стратегической цели государственной политики в области экологического развития решение социально-экономических задач, обеспечивающих экологически ориентированный рост экономики, сохранение благоприятной окружающей среды, биологического разнообра</w:t>
            </w:r>
            <w:r>
              <w:t xml:space="preserve">зия и природных ресурсов для удовлетворения потребностей нынешнего 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обеспечения экологической безопасности.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Экологическая доктрина Российской Федерации, одобренная распоряжением Правительства Российской Федерации от 31 августа 2002 года № 1225-р, определяет в качестве стратегической цели государственной политики в области эко</w:t>
            </w:r>
            <w:r>
              <w:t xml:space="preserve">логии сохранение природных систем, поддержание их целостности и жизнеобеспечивающих функций для устойчивого развития общества, повышения качества жизни, улучшения здоровья населения и демографической ситуации, обеспечения экологической безопасности страны.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Стратегия национальной безопасн</w:t>
            </w:r>
            <w:r>
              <w:t xml:space="preserve">ости Российской Федерации до 203</w:t>
            </w:r>
            <w:r>
              <w:t xml:space="preserve">0 года, утвержденная Указом Президента Российской Федерации от 12 мая 2009 года № 537, рассматривает обеспечение экологической безопасности как важную составляющую национальной безопасности государства.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 Основные положения региональной политики в Российской Федерации, одобренные постановлением Правительства Российской Федерации от 23 марта 1996 года № 327, относят к основным</w:t>
            </w:r>
            <w:r>
              <w:t xml:space="preserve"> направлениям региональной политики в сфере обеспечения экологической безопасности экологически обоснованное размещение производительных сил; экологически безопасное развитие промышленности, сельского хозяйства, энергетики, транспорта и коммунального хозяй</w:t>
            </w:r>
            <w:r>
              <w:t xml:space="preserve">ства; рациональное использование природных ресурсов; предупреждение возникновения противоречий в экологически неблагоприятных регионах Российской Федерации между развитием производительных сил и сохранением экологического равновесия; предупреждение и ликви</w:t>
            </w:r>
            <w:r>
              <w:t xml:space="preserve">дацию чрезвычайных ситуаций; обеспечение естественного развития экосистем, сохранение и восстановление уникальных природных комплексов при решении территориальных проблем; совершенствование управления в области охраны окружающей среды и природопользования.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Обеспечение безопасности населения, в том числе экологической, является одним из приоритетов Стратегии разви</w:t>
            </w:r>
            <w:r>
              <w:t xml:space="preserve">тия Нижегородской области до 203</w:t>
            </w:r>
            <w:r>
              <w:t xml:space="preserve">0 года, утвержденно</w:t>
            </w:r>
            <w:r>
              <w:t xml:space="preserve">й постановлением Правительства Нижегородской области от 17 апреля 2006 года № 127 (далее - Стратегия). В качестве ключевых проблем Нижегородской области Стратегия называет и низкое качество жизни, включающее требующую улучшения экологическую обстановку, и </w:t>
            </w:r>
            <w:r>
              <w:t xml:space="preserve">высокий уровень загрязнения природных объектов. Повышение качества окружающей среды и формирование имиджа экологически чистой территории является одной из задач ключевого направления деятельности Правительства Нижегородской области по реализации Стратегии.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  Благодаря проводимой экологической политике и осуществлению природоохранных мероприятий, экологическая обстановка в районе в настоящее время в целом является стабильной.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  Вместе с тем, существуют и эколог</w:t>
            </w:r>
            <w:r>
              <w:t xml:space="preserve">ические проблемы. Так, для района, как и практически для всех регионов России характерно интенсивное использование природных ресурсов, увеличение и накопление отходов производства и потребления, которые способствуют возрастанию экологической напряженности.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Анализ состояния окружающей среды свидетельствует о наличии негативных тенденций в изменении показателей ее качества.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  Основными экологическими проблемами для района в настоящее время являются: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- ухудшение качества атмосферного воздуха в крупных населенных пунктах, в том числе в результате роста количества автотранспорта, не отвечающего современным экологическим требованиям;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  - низкий уровень экологической культуры и грамотности населения;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  - не в полном объеме выполнение природоохранных требований природопользователями района;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 - увеличение количества образуемых отходов, требующих переработки и утилизации;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- увеличение вредного влияния загрязнения окружающей среды на состояние здоровья населения;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 - деградация природных экосистем, сокращение биологического разнообразия.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Наиболее острой проблемой, способствующей ухудшению качества окружающей среды и нарастанию экологической напряженности, является загрязнени</w:t>
            </w:r>
            <w:r>
              <w:t xml:space="preserve">е отходами производства и потребления. По данным формы федерального статистического наблюдения № 2-ТП (отходы) "Сведения об образовании, использовании, обезвреживании, транспортировании и размещении отходов производства и потребления", утвержденной приказо</w:t>
            </w:r>
            <w:r>
              <w:t xml:space="preserve">м Росстата от 28 января 2011 года № 17, в 2013 году в Нижегородской области образовалось уже более 3,6 млн. тонн отходов производства и потребления, кроме того, числится более 2,2 млн. тонн отходов, размещенных в местах длительного хранения и захоронения. 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Постановлением Правительства Нижегородской области от 30 апреля 2014  года № 306 была утверждена  государственная программа " Охрана окружающей среды Нижегородской области." (далее также - ОГП).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ОГП, направленная на развитие системы обращения с отходами, отвечала требованиям, закрепленным в законодательстве, Основах государственной политики в области эк</w:t>
            </w:r>
            <w:r>
              <w:t xml:space="preserve">ологического развития Российской Федерации, утвержденных Президентом Российской Федерации 30 апреля 2012 года, и поручениях Президента Российской Федерации к руководителям высших исполнительных органов государственной власти субъектов Российской Федерации.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 Важн</w:t>
            </w:r>
            <w:r>
              <w:t xml:space="preserve">ым условием, способствующим повышению экологической безопасности в области, является повышение экологической культуры населения, образовательного уровня, профессиональных навыков и знаний в области экологии. Низкий уровень экологического сознания и экологи</w:t>
            </w:r>
            <w:r>
              <w:t xml:space="preserve">ческой культуры населения страны отнесен Экологической доктриной Российской Федерации, одобренной распоряжением Правительства Российской Федерации от 31 августа 2002 года № 1225-р, к числу основных факторов деградации природной среды Российской Федерации. 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</w:t>
            </w:r>
            <w:r/>
          </w:p>
          <w:p>
            <w:pPr>
              <w:pStyle w:val="979"/>
              <w:ind w:left="142" w:firstLine="0"/>
              <w:jc w:val="both"/>
              <w:widowControl/>
              <w:tabs>
                <w:tab w:val="left" w:pos="2340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Цели и задачи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9"/>
              <w:ind w:left="142"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8"/>
              <w:ind w:firstLine="300"/>
              <w:jc w:val="both"/>
            </w:pPr>
            <w:r>
              <w:t xml:space="preserve"> </w:t>
            </w:r>
            <w:r>
              <w:rPr>
                <w:b/>
                <w:bCs/>
              </w:rPr>
              <w:t xml:space="preserve">Целью</w:t>
            </w:r>
            <w:r>
              <w:t xml:space="preserve"> Программы является повышение уровня экологической безопасности и сохранение природных систем, повышение качества окружающей среды и формиров</w:t>
            </w:r>
            <w:r>
              <w:t xml:space="preserve">ание имиджа Бутурлинского муниципального округа </w:t>
            </w:r>
            <w:r>
              <w:t xml:space="preserve"> Нижегородской области как экологически чистой территории.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Достижение указанной цели обеспечивает решение следующих </w:t>
            </w:r>
            <w:r>
              <w:rPr>
                <w:b/>
                <w:bCs/>
              </w:rPr>
              <w:t xml:space="preserve">задач</w:t>
            </w:r>
            <w:r>
              <w:t xml:space="preserve">:</w:t>
            </w:r>
            <w:r/>
          </w:p>
          <w:p>
            <w:pPr>
              <w:pStyle w:val="957"/>
              <w:jc w:val="both"/>
            </w:pPr>
            <w:r>
              <w:t xml:space="preserve">  1 Сохранение и восстановление биологического разнообразия на</w:t>
            </w:r>
            <w:r>
              <w:t xml:space="preserve"> территории Бутурлинского муниципального округа Нижегородской области</w:t>
            </w:r>
            <w:r/>
          </w:p>
          <w:p>
            <w:pPr>
              <w:pStyle w:val="957"/>
              <w:jc w:val="both"/>
            </w:pPr>
            <w:r>
              <w:t xml:space="preserve">   2 Предотвращения вредного воздействия отходов производства и потребления на здоровье человека и окружающую среду</w:t>
            </w:r>
            <w:r/>
          </w:p>
          <w:p>
            <w:pPr>
              <w:pStyle w:val="957"/>
              <w:jc w:val="both"/>
            </w:pPr>
            <w:r>
              <w:t xml:space="preserve">     3 Сохране</w:t>
            </w:r>
            <w:r>
              <w:t xml:space="preserve">ние водных объектов в состоянии, </w:t>
            </w:r>
            <w:r>
              <w:t xml:space="preserve">обеспечивающие экологически благоприятные условия жизни населения.</w:t>
            </w:r>
            <w:r/>
          </w:p>
          <w:p>
            <w:pPr>
              <w:pStyle w:val="978"/>
              <w:ind w:firstLine="300"/>
              <w:jc w:val="both"/>
            </w:pPr>
            <w:r>
              <w:t xml:space="preserve"> 4 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>
              <w:t xml:space="preserve">  </w:t>
            </w:r>
            <w:r/>
          </w:p>
          <w:p>
            <w:pPr>
              <w:pStyle w:val="979"/>
              <w:ind w:left="142" w:firstLine="0"/>
              <w:jc w:val="both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Сроки и этапы реализации Программы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9"/>
              <w:ind w:left="142" w:firstLine="0"/>
              <w:jc w:val="both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8"/>
              <w:ind w:firstLine="300"/>
              <w:jc w:val="both"/>
            </w:pPr>
            <w:r>
              <w:t xml:space="preserve">  Срок реализации меропр</w:t>
            </w:r>
            <w:r>
              <w:t xml:space="preserve">иятий Программы - </w:t>
            </w:r>
            <w:r>
              <w:t xml:space="preserve">с 202</w:t>
            </w:r>
            <w:r>
              <w:t xml:space="preserve">1</w:t>
            </w:r>
            <w:r>
              <w:t xml:space="preserve"> по 202</w:t>
            </w:r>
            <w:r>
              <w:t xml:space="preserve">8</w:t>
            </w:r>
            <w:r>
              <w:t xml:space="preserve"> года</w:t>
            </w:r>
            <w:r>
              <w:t xml:space="preserve">. Программа реализуется в один этап.</w:t>
            </w:r>
            <w:r/>
          </w:p>
          <w:p>
            <w:pPr>
              <w:pStyle w:val="978"/>
              <w:ind w:firstLine="300"/>
              <w:jc w:val="both"/>
            </w:pPr>
            <w:r/>
            <w:r/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9"/>
              <w:ind w:left="142"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9"/>
              <w:ind w:left="142"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9"/>
              <w:ind w:left="142"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79"/>
              <w:ind w:left="142"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/>
            <w:r/>
          </w:p>
        </w:tc>
      </w:tr>
    </w:tbl>
    <w:p>
      <w:pPr>
        <w:pStyle w:val="957"/>
        <w:rPr>
          <w:b/>
        </w:rPr>
        <w:sectPr>
          <w:headerReference w:type="default" r:id="rId9"/>
          <w:headerReference w:type="even" r:id="rId10"/>
          <w:headerReference w:type="first" r:id="rId11"/>
          <w:footerReference w:type="default" r:id="rId14"/>
          <w:footerReference w:type="even" r:id="rId15"/>
          <w:footerReference w:type="first" r:id="rId16"/>
          <w:footnotePr/>
          <w:endnotePr/>
          <w:type w:val="nextPage"/>
          <w:pgSz w:w="11906" w:h="16838" w:orient="portrait"/>
          <w:pgMar w:top="454" w:right="794" w:bottom="397" w:left="1361" w:header="709" w:footer="709" w:gutter="0"/>
          <w:cols w:num="1" w:sep="0" w:space="720" w:equalWidth="1"/>
          <w:docGrid w:linePitch="360"/>
        </w:sect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79"/>
        <w:ind w:firstLine="0"/>
        <w:jc w:val="center"/>
        <w:widowControl/>
        <w:rPr>
          <w:rFonts w:ascii="Times New Roman" w:hAnsi="Times New Roman" w:cs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2.4.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основных мероприятий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9"/>
        <w:ind w:firstLine="0"/>
        <w:jc w:val="right"/>
        <w:widowControl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Таблица 1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79"/>
        <w:ind w:firstLine="0"/>
        <w:jc w:val="center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499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48"/>
        <w:gridCol w:w="2331"/>
        <w:gridCol w:w="1275"/>
        <w:gridCol w:w="853"/>
        <w:gridCol w:w="2272"/>
        <w:gridCol w:w="567"/>
        <w:gridCol w:w="432"/>
        <w:gridCol w:w="850"/>
        <w:gridCol w:w="845"/>
        <w:gridCol w:w="850"/>
        <w:gridCol w:w="851"/>
        <w:gridCol w:w="850"/>
        <w:gridCol w:w="709"/>
        <w:gridCol w:w="709"/>
        <w:gridCol w:w="8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расходов (капвло- жения, НИОКР и прочие расходы)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(по годам)  (тыс. руб.)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left="-675" w:firstLine="675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left="-675" w:firstLine="675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79" w:type="dxa"/>
            <w:vAlign w:val="top"/>
            <w:textDirection w:val="lrTb"/>
            <w:noWrap w:val="false"/>
          </w:tcPr>
          <w:p>
            <w:pPr>
              <w:pStyle w:val="978"/>
              <w:jc w:val="both"/>
            </w:pPr>
            <w:r>
              <w:rPr>
                <w:b/>
                <w:bCs/>
              </w:rPr>
              <w:t xml:space="preserve">Программа "Охрана окружающей среды в Бутурлинском муниципальном округе  Нижегородской области" </w:t>
            </w:r>
            <w:r/>
          </w:p>
          <w:p>
            <w:pPr>
              <w:pStyle w:val="991"/>
              <w:jc w:val="both"/>
              <w:spacing w:before="0" w:beforeAutospacing="0" w:after="0" w:afterAutospacing="0" w:line="255" w:lineRule="atLeast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678,97514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5279,21300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13243,874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12825,12500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922,30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1028,6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1018,3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823,5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35819,88714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62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7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  1 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Сохранение , воспроизводство и рациональное использование объектов животного мира Бутурлинского муниципального округа Нижегородской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71,30000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81.3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обеспечения охраны редких и находящихся под угрозой исчезновения объектов  животного и растительного мира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-202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0,00000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и использование охотничьих ресурсов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</w:t>
            </w:r>
            <w:r>
              <w:rPr>
                <w:rFonts w:ascii="Times New Roman" w:hAnsi="Times New Roman" w:cs="Times New Roman"/>
              </w:rPr>
              <w:t xml:space="preserve">-202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both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71,3</w:t>
            </w:r>
            <w:r>
              <w:rPr>
                <w:rFonts w:ascii="Times New Roman" w:hAnsi="Times New Roman" w:cs="Times New Roman"/>
              </w:rPr>
              <w:t xml:space="preserve">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cs="Times New Roman"/>
              </w:rPr>
              <w:t xml:space="preserve">71,3</w:t>
            </w:r>
            <w:r>
              <w:rPr>
                <w:rFonts w:ascii="Times New Roman" w:hAnsi="Times New Roman" w:cs="Times New Roman"/>
              </w:rPr>
              <w:t xml:space="preserve">0000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, регулирование и охрана водных биологических ресурсов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-202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both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  <w:t xml:space="preserve">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1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79" w:type="dxa"/>
            <w:vAlign w:val="top"/>
            <w:textDirection w:val="lrTb"/>
            <w:noWrap w:val="false"/>
          </w:tcPr>
          <w:p>
            <w:pPr>
              <w:pStyle w:val="9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Основное мероприятие  </w:t>
            </w:r>
            <w:r>
              <w:rPr>
                <w:b/>
                <w:sz w:val="20"/>
                <w:szCs w:val="20"/>
              </w:rPr>
              <w:t xml:space="preserve">2 «Формирование системы обращения с отходами производства и потребления»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673,97514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5274,213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13243,874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11804,12105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851</w:t>
            </w:r>
            <w:r>
              <w:rPr>
                <w:rFonts w:ascii="Times New Roman" w:hAnsi="Times New Roman" w:cs="Times New Roman"/>
              </w:rPr>
              <w:t xml:space="preserve">,0000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1028,6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1018,3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823,5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34717,60019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Ликвидация накопленного вреда окружающей среде на территории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23,500000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23,500000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23,500000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399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,50000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2.2.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Ликвидация несанкционированных свалок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136,07514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3148,87500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586,40000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1304,9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8439,25014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2.3.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согласование  проекта  по рекультивации  и рекультивация  свалки ТБО и ЖБО в р.п. Бутурлино Нижегородской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164,000000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7230,36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7254,8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14700,18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2.4.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Обустройство контейнерных площадок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2383,26450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2184,000000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5347,2645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мусорных  контейнеров и(или) бункеров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316,00000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2604,9495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1060,42105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3981,37055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2.6.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экологической документации для очистных сооружений р.п. Бутурлино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537,90000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проекта санитарно-защитной зоны для очистных сооружений р.п. Бутурлино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Ограждение сибиреязвенного скотомогильника в 600 метрах от с. Ягубовка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251,43960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251,43960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Обустройство сибиреязвенного скотомогильника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313,89840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313,89840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1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7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b/>
              </w:rPr>
              <w:t xml:space="preserve">3 «Сохранение и развитие водных объектов общего пользования»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692,00395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692,00395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Определение собственника безхозяйных ГТС  водных объектов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эксплуатационной надежности ГТС путем их приведения к безопасному техническому состоянию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Содействие организации зон санитарной охраны источников хозяйственно-питьевого водоснабжения населения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готовности гидротехнических сооружений к безаварийной эксплуатации при пропуске паводковых вод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надлежащей систему отведения ливневых(талых) вод со сквера у памятника Ф.И. Бутурлина на ул. Ленина в р.п. Бутурлино Нижегородской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2024-2027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192,00395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192,00395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7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Основное мероприятие  </w:t>
            </w:r>
            <w:r>
              <w:rPr>
                <w:rFonts w:ascii="Times New Roman" w:hAnsi="Times New Roman" w:cs="Times New Roman"/>
                <w:b/>
              </w:rPr>
              <w:t xml:space="preserve">4 Формирование экологической культуры населения Бутурлинского муниципального округа Нижегородской области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районных       </w:t>
              <w:br w:type="textWrapping" w:clear="all"/>
              <w:t xml:space="preserve">обучающих семинаров </w:t>
              <w:br w:type="textWrapping" w:clear="all"/>
              <w:t xml:space="preserve">с представителями хозяйствующих субъектов по вопросам охраны окружающей среды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расходы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spacing w:before="100" w:beforeAutospacing="1" w:after="100" w:afterAutospacing="1" w:line="240" w:lineRule="atLeas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работе областных семинаров и совещаниях по природоохранной деятельности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4.3.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57"/>
              <w:ind w:right="-3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и проведение конкурса о по раздельному сбору среди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57"/>
              <w:ind w:right="-3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образовательных учреждений Бутурлинского муниципального округа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расходы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4.4.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конкурса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изучению экологического состояния особо охраняемых природных территорий для обучающихся 6-10 классов образовательных учреждений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91"/>
              <w:spacing w:line="25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Посадка деревьев, кустарников и цветов на территории района с целью нормализации экологической обстановки и создании благоприятной окружающей среды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4.6.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в детских образовательных и социальных учреждениях эколого-развивающей среды (живые уголки, зимние сады, ландшафтные площадки, экологические тропы)  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4.7.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экологических мероприятий (акций, конференций, экскурсий, форумов, презентаций) 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4.8.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участия  образовательных учреждений Бутурлинского муниципального округа в детских и молодежных экологических проектах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4.9.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со средствами массовой информации (ведение тематических рубрик, ответы на вопросы)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4.10.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Содействие развитию детских экологических объединений в образовательных учреждениях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для образовательных и социальных учреждений, предприятий, организаций, хозяйствующих </w:t>
            </w:r>
            <w:r>
              <w:rPr>
                <w:rFonts w:ascii="Times New Roman" w:hAnsi="Times New Roman" w:cs="Times New Roman"/>
              </w:rPr>
              <w:t xml:space="preserve">субъектов и жителей округа экологических конкурсов и акций: ко Всемирному дню охраны окружающей среды, к Всемирному дню Земли, к Всемирному дню борьбы со СПИДом, «За здоровый образ жизни», Всемирный день без табака», дней защиты от экологической опасности.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округа, ГБУЗ НО "Бутурлинская ЦРБ" (по согласованию)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смотра-конкурса среди образовательных и социальных учреждений округа на лучшую постановку экологического образования и воспитания детей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4.13.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приемов граждан, рассмотрение их жалоб и заявлений, связанных с нарушением природоохранного законодательства.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tabs>
                <w:tab w:val="left" w:pos="495" w:leader="none"/>
                <w:tab w:val="center" w:pos="96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4.14.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прямой телефонной линии по вопросам экологии и природопользования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tabs>
                <w:tab w:val="left" w:pos="480" w:leader="none"/>
                <w:tab w:val="center" w:pos="96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тематических выставок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7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Основное мероприятие  5 "Обеспечение реализации Программы"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tabs>
                <w:tab w:val="left" w:pos="450" w:leader="none"/>
                <w:tab w:val="center" w:pos="96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расходы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  <w:t xml:space="preserve">21-2027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Бутурлинского муниципального округа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5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79"/>
        <w:ind w:firstLine="0"/>
        <w:jc w:val="center"/>
        <w:widowControl/>
        <w:rPr>
          <w:rFonts w:ascii="Times New Roman" w:hAnsi="Times New Roman" w:cs="Times New Roman"/>
        </w:rPr>
        <w:outlineLvl w:val="2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78"/>
        <w:jc w:val="center"/>
        <w:rPr>
          <w:b/>
          <w:bCs/>
        </w:rPr>
      </w:pPr>
      <w:r>
        <w:rPr>
          <w:b/>
          <w:bCs/>
        </w:rPr>
        <w:t xml:space="preserve">2.5. Индикаторы достижения цели и непосредственные </w:t>
      </w:r>
      <w:r>
        <w:rPr>
          <w:b/>
          <w:bCs/>
        </w:rPr>
      </w:r>
      <w:r>
        <w:rPr>
          <w:b/>
          <w:bCs/>
        </w:rPr>
      </w:r>
    </w:p>
    <w:p>
      <w:pPr>
        <w:pStyle w:val="978"/>
        <w:jc w:val="center"/>
      </w:pPr>
      <w:r>
        <w:rPr>
          <w:b/>
          <w:bCs/>
        </w:rPr>
        <w:t xml:space="preserve">результаты реализации Программы</w:t>
      </w:r>
      <w:r/>
    </w:p>
    <w:p>
      <w:pPr>
        <w:pStyle w:val="957"/>
        <w:ind w:left="-567" w:firstLine="540"/>
        <w:jc w:val="right"/>
        <w:widowControl w:val="off"/>
        <w:outlineLvl w:val="3"/>
      </w:pPr>
      <w:r>
        <w:t xml:space="preserve">Таблица 2 </w:t>
      </w:r>
      <w:r/>
    </w:p>
    <w:tbl>
      <w:tblPr>
        <w:tblW w:w="14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69"/>
        <w:gridCol w:w="3607"/>
        <w:gridCol w:w="1649"/>
        <w:gridCol w:w="140"/>
        <w:gridCol w:w="1014"/>
        <w:gridCol w:w="284"/>
        <w:gridCol w:w="992"/>
        <w:gridCol w:w="142"/>
        <w:gridCol w:w="850"/>
        <w:gridCol w:w="283"/>
        <w:gridCol w:w="709"/>
        <w:gridCol w:w="993"/>
        <w:gridCol w:w="283"/>
        <w:gridCol w:w="567"/>
        <w:gridCol w:w="851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индикатора/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непосредственного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top"/>
            <w:vMerge w:val="restart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индикатора/ непосредственного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4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"Охрана окружающей среды в Бутурлинском  муниципальном округе  Нижегородской области на 2021-2027 годы"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     Основное мероприятие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«Сохранение ,воспроизводство и рациональное использование объектов животного мира»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1.1.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  Увеличение доли количества видов  и их численности животного и растительного мира,%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8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Непосредственные результаты: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1.2.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Увеличение количества видов  и их численности животного и растительного мира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                            Основное мероприятие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системы обращения с отходами производства и потребления»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Доля площади ликвидированных объектов накопленного экологического ущерба (от общей площади , занятой объектами накопленного экологического ущерба , предполагаемых для ликвидации)   100%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30,0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2.4.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Доля обустроенных контейнерных площадок(к общему количеству контейнерных площадок)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83,0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93,8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97,0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Доля приобретенных контейнеров(к общему количеству контейнеров)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28,0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30,0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53,,9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2.7.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Доля разработанных санитарно-защитных зон от всех объектов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2.8.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Доля обустроенных сибиреязвенных скотомогильников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Непосредственные результаты: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Количество ликвидированных несанкционированных свалок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          Шт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hanging="107"/>
              <w:jc w:val="center"/>
              <w:rPr>
                <w:rFonts w:ascii="Times New Roman" w:hAnsi="Times New Roman" w:cs="Times New Roman"/>
                <w:color w:val="ff0000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5,0</w:t>
            </w:r>
            <w:r>
              <w:rPr>
                <w:rFonts w:ascii="Times New Roman" w:hAnsi="Times New Roman" w:cs="Times New Roman"/>
                <w:color w:val="ff0000"/>
              </w:rPr>
            </w:r>
            <w:r>
              <w:rPr>
                <w:rFonts w:ascii="Times New Roman" w:hAnsi="Times New Roman" w:cs="Times New Roman"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Разработка проекта  по рекультивации    свалки ТБО и ЖБО в р.п. Бутурлино Нижегородской области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            Шт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2.4.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Обустроено контейнерных площадок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34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  <w:outlineLvl w:val="2"/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  <w:outlineLvl w:val="2"/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  <w:outlineLvl w:val="2"/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  <w:outlineLvl w:val="2"/>
            </w:pP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Приобретено контейнеров/бункеров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354/8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34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12/12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129/5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52/1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25/2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25/2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25/2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57"/>
            </w:pPr>
            <w:r>
              <w:t xml:space="preserve">25/2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2.7.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Разработано санитарно-защитных зон объектов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34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2.8.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Ограждено сибиреязвенных скотомогильников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34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rPr>
                <w:rFonts w:ascii="Times New Roman" w:hAnsi="Times New Roman" w:cs="Times New Roman"/>
                <w:bCs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Обустроено сибиреязвенных скотомогильников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Шт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34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Непосредственные результаты: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 Площадь объектов соответствующих ГСО Бутурлинского района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2,75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3,5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                                                Основное мероприятие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3«Сохранение и развитие водных объектов общего пользования»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3.1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  <w:bCs/>
              </w:rPr>
              <w:t xml:space="preserve">Доля гидротехнических сооружений принятых на баланс организаций , в процентах  100 %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Непосредственные результаты: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3.1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Количество ГТС водных объектов  принятых на баланс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 организаций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шт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91"/>
              <w:spacing w:line="255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 4               Основное мероприятие  4 "Формирование экологической культуры населения Бутурлинского муниципального округа"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91"/>
              <w:spacing w:line="255" w:lineRule="atLeas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4.1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Доля населения, активно участвующего в мероприятиях по формированию благоприятной окружающей среды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%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Непосредственные результаты: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4.1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Проведение мероприятий по экологическому образованию и просвещению населения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мероприятий/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участников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3/700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5/1400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6/2000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7/2500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8/3000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8/</w:t>
            </w:r>
            <w:r>
              <w:rPr>
                <w:rFonts w:ascii="Times New Roman" w:hAnsi="Times New Roman" w:cs="Times New Roman"/>
              </w:rPr>
              <w:t xml:space="preserve">3000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8/</w:t>
            </w:r>
            <w:r>
              <w:rPr>
                <w:rFonts w:ascii="Times New Roman" w:hAnsi="Times New Roman" w:cs="Times New Roman"/>
              </w:rPr>
              <w:t xml:space="preserve">3000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jc w:val="center"/>
              <w:widowControl/>
              <w:rPr>
                <w:rFonts w:ascii="Times New Roman" w:hAnsi="Times New Roman" w:cs="Times New Roman"/>
              </w:rPr>
              <w:outlineLvl w:val="2"/>
            </w:pPr>
            <w:r>
              <w:rPr>
                <w:rFonts w:ascii="Times New Roman" w:hAnsi="Times New Roman" w:cs="Times New Roman"/>
              </w:rPr>
              <w:t xml:space="preserve">8/</w:t>
            </w:r>
            <w:r>
              <w:rPr>
                <w:rFonts w:ascii="Times New Roman" w:hAnsi="Times New Roman" w:cs="Times New Roman"/>
              </w:rPr>
              <w:t xml:space="preserve">3000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57"/>
        <w:sectPr>
          <w:footnotePr/>
          <w:endnotePr/>
          <w:type w:val="nextPage"/>
          <w:pgSz w:w="16838" w:h="11906" w:orient="landscape"/>
          <w:pgMar w:top="624" w:right="794" w:bottom="624" w:left="1361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979"/>
        <w:ind w:firstLine="0"/>
        <w:widowControl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   2.6. Меры правового регулирования Программы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57"/>
        <w:ind w:left="-567" w:firstLine="540"/>
        <w:jc w:val="right"/>
        <w:widowControl w:val="off"/>
        <w:outlineLvl w:val="3"/>
      </w:pPr>
      <w:r>
        <w:t xml:space="preserve">Таблица 3 </w:t>
      </w:r>
      <w:r/>
    </w:p>
    <w:p>
      <w:pPr>
        <w:pStyle w:val="957"/>
        <w:ind w:left="-567" w:firstLine="540"/>
        <w:jc w:val="center"/>
        <w:widowControl w:val="off"/>
        <w:outlineLvl w:val="3"/>
      </w:pPr>
      <w:r>
        <w:t xml:space="preserve">Сведения об основных мерах правового регулирования</w:t>
      </w:r>
      <w:r/>
    </w:p>
    <w:p>
      <w:pPr>
        <w:pStyle w:val="957"/>
        <w:ind w:left="-567" w:firstLine="540"/>
        <w:jc w:val="center"/>
        <w:widowControl w:val="off"/>
        <w:outlineLvl w:val="3"/>
      </w:pPr>
      <w:r/>
      <w:r/>
    </w:p>
    <w:tbl>
      <w:tblPr>
        <w:tblW w:w="9540" w:type="dxa"/>
        <w:tblInd w:w="-314" w:type="dxa"/>
        <w:tblLayout w:type="fixed"/>
        <w:tblCellMar>
          <w:left w:w="60" w:type="dxa"/>
          <w:top w:w="0" w:type="dxa"/>
          <w:right w:w="60" w:type="dxa"/>
          <w:bottom w:w="0" w:type="dxa"/>
        </w:tblCellMar>
        <w:tblLook w:val="04A0" w:firstRow="1" w:lastRow="0" w:firstColumn="1" w:lastColumn="0" w:noHBand="0" w:noVBand="1"/>
      </w:tblPr>
      <w:tblGrid>
        <w:gridCol w:w="525"/>
        <w:gridCol w:w="2041"/>
        <w:gridCol w:w="2443"/>
        <w:gridCol w:w="2269"/>
        <w:gridCol w:w="2262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26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78"/>
              <w:jc w:val="center"/>
            </w:pPr>
            <w:r>
              <w:rPr>
                <w:b/>
                <w:bCs/>
              </w:rPr>
              <w:t xml:space="preserve">п/п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040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rPr>
                <w:b/>
                <w:bCs/>
              </w:rPr>
              <w:t xml:space="preserve">Вид правового акта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442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rPr>
                <w:b/>
                <w:bCs/>
              </w:rPr>
              <w:t xml:space="preserve">Основные положения правового акта (суть)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rPr>
                <w:b/>
                <w:bCs/>
              </w:rPr>
              <w:t xml:space="preserve">Ответственный исполнитель и соисполнители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261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rPr>
                <w:b/>
                <w:bCs/>
              </w:rPr>
              <w:t xml:space="preserve">Ожидаемые сроки принятия</w:t>
            </w:r>
            <w:r>
              <w:t xml:space="preserve"> 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rPr>
                <w:b/>
                <w:bCs/>
              </w:rPr>
              <w:t xml:space="preserve">Основное мероприятие  1    </w:t>
            </w:r>
            <w:r>
              <w:t xml:space="preserve">«Сохранение ,воспроизводство и рациональное использование объектов животного мира</w:t>
            </w:r>
            <w:r>
              <w:t xml:space="preserve"> Бутурлинского муниципального округа Нижегородской области</w:t>
            </w:r>
            <w:r>
              <w:t xml:space="preserve">»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  <w:rPr>
                <w:b/>
                <w:bCs/>
              </w:rPr>
            </w:pPr>
            <w:r>
              <w:t xml:space="preserve">Принятие правовых актов не требуется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 2   </w:t>
            </w:r>
            <w:r>
              <w:t xml:space="preserve">«Формирование системы обращения с отходами производства и потребления»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none" w:color="FFFFFF" w:sz="255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Принятие правовых актов не требуется 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none" w:color="FFFFFF" w:sz="255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 </w:t>
            </w:r>
            <w:r>
              <w:rPr>
                <w:b/>
                <w:bCs/>
              </w:rPr>
              <w:t xml:space="preserve">Основное мероприятие  </w:t>
            </w:r>
            <w:r>
              <w:t xml:space="preserve">3</w:t>
            </w:r>
            <w:r>
              <w:rPr>
                <w:b/>
              </w:rPr>
              <w:t xml:space="preserve">«Сохранение и развитие водных объектов общего пользования»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none" w:color="FFFFFF" w:sz="255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Принятие правовых актов не требуется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none" w:color="FFFFFF" w:sz="255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 </w:t>
            </w:r>
            <w:r>
              <w:rPr>
                <w:b/>
                <w:bCs/>
              </w:rPr>
              <w:t xml:space="preserve">Основное мероприятие  </w:t>
            </w:r>
            <w:r>
              <w:t xml:space="preserve">4</w:t>
            </w:r>
            <w:r>
              <w:rPr>
                <w:b/>
                <w:bCs/>
              </w:rPr>
              <w:t xml:space="preserve">  «Формирование экологической культур</w:t>
            </w:r>
            <w:r>
              <w:rPr>
                <w:b/>
                <w:bCs/>
              </w:rPr>
              <w:t xml:space="preserve">ы населения Бутурлинского муниципального округа Нижегородской области</w:t>
            </w:r>
            <w:r>
              <w:rPr>
                <w:b/>
                <w:bCs/>
              </w:rPr>
              <w:t xml:space="preserve">»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none" w:color="FFFFFF" w:sz="255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Принятие правовых актов не требуется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none" w:color="FFFFFF" w:sz="255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 </w:t>
            </w:r>
            <w:r>
              <w:rPr>
                <w:b/>
                <w:bCs/>
              </w:rPr>
              <w:t xml:space="preserve">Основное мероприятие  </w:t>
            </w:r>
            <w:r>
              <w:t xml:space="preserve">5</w:t>
            </w:r>
            <w:r>
              <w:rPr>
                <w:b/>
                <w:bCs/>
              </w:rPr>
              <w:t xml:space="preserve">«Обеспечение реализации Программы»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FFFFFF" w:sz="255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537" w:type="dxa"/>
            <w:vAlign w:val="top"/>
            <w:textDirection w:val="lrTb"/>
            <w:noWrap w:val="false"/>
          </w:tcPr>
          <w:p>
            <w:pPr>
              <w:pStyle w:val="978"/>
            </w:pPr>
            <w:r>
              <w:t xml:space="preserve">Принятие правовых актов не требуется</w:t>
            </w:r>
            <w:r/>
          </w:p>
        </w:tc>
      </w:tr>
    </w:tbl>
    <w:p>
      <w:pPr>
        <w:pStyle w:val="957"/>
        <w:spacing w:line="240" w:lineRule="atLeast"/>
        <w:widowControl w:val="off"/>
      </w:pPr>
      <w:r>
        <w:rPr>
          <w:b/>
        </w:rPr>
        <w:t xml:space="preserve">   2.7.</w:t>
      </w:r>
      <w:r>
        <w:t xml:space="preserve">  Программой не предусмотрено финансирование из бюджетов других уровней.</w:t>
      </w:r>
      <w:r/>
    </w:p>
    <w:p>
      <w:pPr>
        <w:pStyle w:val="957"/>
        <w:spacing w:line="240" w:lineRule="atLeast"/>
        <w:widowControl w:val="off"/>
      </w:pPr>
      <w:r>
        <w:rPr>
          <w:b/>
        </w:rPr>
        <w:t xml:space="preserve">2.8. </w:t>
      </w:r>
      <w:r>
        <w:t xml:space="preserve">В рамках Программы муниципальными учреждениями не предусматривается оказание муниципальных услуг (работ) физическим и юридическим лицам.</w:t>
      </w:r>
      <w:r>
        <w:rPr>
          <w:b/>
        </w:rPr>
        <w:t xml:space="preserve"> </w:t>
      </w:r>
      <w:r/>
    </w:p>
    <w:p>
      <w:pPr>
        <w:pStyle w:val="978"/>
        <w:jc w:val="both"/>
      </w:pPr>
      <w:r>
        <w:rPr>
          <w:b/>
        </w:rPr>
        <w:t xml:space="preserve">2.9. </w:t>
      </w:r>
      <w:r>
        <w:t xml:space="preserve">Муниципальные унитарные предприятия, акционерные общества с участием администрации района и иные организации в реализации Программы не участвуют. </w:t>
      </w:r>
      <w:r/>
    </w:p>
    <w:p>
      <w:pPr>
        <w:pStyle w:val="978"/>
        <w:ind w:firstLine="300"/>
        <w:jc w:val="both"/>
      </w:pPr>
      <w:r/>
      <w:r/>
    </w:p>
    <w:p>
      <w:pPr>
        <w:pStyle w:val="978"/>
        <w:ind w:firstLine="300"/>
        <w:jc w:val="center"/>
        <w:tabs>
          <w:tab w:val="left" w:pos="2220" w:leader="none"/>
        </w:tabs>
      </w:pPr>
      <w:r>
        <w:rPr>
          <w:b/>
          <w:bCs/>
        </w:rPr>
        <w:t xml:space="preserve">2.10. Обоснование объема финансовых ресурсов</w:t>
      </w:r>
      <w:r/>
    </w:p>
    <w:p>
      <w:pPr>
        <w:pStyle w:val="957"/>
        <w:ind w:left="-567" w:firstLine="54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7"/>
        <w:jc w:val="both"/>
        <w:widowControl w:val="off"/>
      </w:pPr>
      <w:r>
        <w:rPr>
          <w:b/>
        </w:rPr>
        <w:t xml:space="preserve">   </w:t>
      </w:r>
      <w:r>
        <w:t xml:space="preserve">Информация по ресурс</w:t>
      </w:r>
      <w:r>
        <w:t xml:space="preserve">ному обеспечению Программы за счет средств районного бюджета (с расшифровкой по главным распорядителям средств районного бюджета, основным мероприятиям подпрограмм, а также по годам реализации Программы) отражается по форме согласно таблице 4 и  таблице 5.</w:t>
      </w:r>
      <w:r/>
    </w:p>
    <w:p>
      <w:pPr>
        <w:pStyle w:val="957"/>
        <w:jc w:val="both"/>
        <w:widowControl w:val="off"/>
      </w:pPr>
      <w:r/>
      <w:r/>
    </w:p>
    <w:p>
      <w:pPr>
        <w:pStyle w:val="957"/>
        <w:jc w:val="center"/>
        <w:widowControl w:val="off"/>
        <w:rPr>
          <w:b/>
        </w:rPr>
        <w:outlineLvl w:val="3"/>
      </w:pPr>
      <w:r>
        <w:rPr>
          <w:b/>
        </w:rPr>
        <w:t xml:space="preserve">2.10.1. Ресурсное обеспечение реализации</w:t>
      </w:r>
      <w:r>
        <w:rPr>
          <w:b/>
        </w:rPr>
      </w:r>
      <w:r>
        <w:rPr>
          <w:b/>
        </w:rPr>
      </w:r>
    </w:p>
    <w:p>
      <w:pPr>
        <w:pStyle w:val="957"/>
        <w:ind w:left="-567" w:firstLine="540"/>
        <w:jc w:val="center"/>
        <w:widowControl w:val="off"/>
        <w:rPr>
          <w:b/>
        </w:rPr>
      </w:pPr>
      <w:r>
        <w:rPr>
          <w:b/>
        </w:rPr>
        <w:t xml:space="preserve">Программы за счет средств   бюджета муниципального округа</w:t>
      </w:r>
      <w:r>
        <w:rPr>
          <w:b/>
        </w:rPr>
      </w:r>
      <w:r>
        <w:rPr>
          <w:b/>
        </w:rPr>
      </w:r>
    </w:p>
    <w:p>
      <w:pPr>
        <w:pStyle w:val="957"/>
        <w:ind w:left="-567" w:firstLine="540"/>
        <w:jc w:val="right"/>
        <w:widowControl w:val="off"/>
        <w:outlineLvl w:val="3"/>
      </w:pPr>
      <w:r/>
      <w:r/>
    </w:p>
    <w:tbl>
      <w:tblPr>
        <w:tblW w:w="10916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93"/>
        <w:gridCol w:w="142"/>
        <w:gridCol w:w="1418"/>
        <w:gridCol w:w="198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Статус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Подпрограммы муниципальной программы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Муниципальный заказчик ,координатор, соисполнитель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2028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Всего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outlineLvl w:val="3"/>
            </w:pPr>
            <w:r>
              <w:t xml:space="preserve">12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Программа «Охрана окружающей среды в Бутурлинском муниципальном округе Нижегородской области»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678,97514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5279,21300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13243,874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12496,1579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922,300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833,8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color w:val="auto"/>
                <w:sz w:val="20"/>
                <w:szCs w:val="20"/>
              </w:rPr>
              <w:outlineLvl w:val="3"/>
            </w:pPr>
            <w:r>
              <w:rPr>
                <w:color w:val="auto"/>
                <w:sz w:val="20"/>
                <w:szCs w:val="20"/>
              </w:rPr>
              <w:t xml:space="preserve">35101,32004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Муниципальный заказчик координатор :администрация Бутурлинского муниципального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678,97514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5279,21300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13243,874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12496,1579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922,300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833,8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color w:val="auto"/>
                <w:sz w:val="20"/>
                <w:szCs w:val="20"/>
              </w:rPr>
              <w:outlineLvl w:val="3"/>
            </w:pPr>
            <w:r>
              <w:rPr>
                <w:color w:val="auto"/>
                <w:sz w:val="20"/>
                <w:szCs w:val="20"/>
              </w:rPr>
              <w:t xml:space="preserve">35101,32004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Основное мероприятие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Сохранение, воспроизводство и рациональное использование объектов животного мираБутурлинского муниципального округа Нижегородской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5,00000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5,00000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71</w:t>
            </w: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color w:val="auto"/>
                <w:sz w:val="20"/>
                <w:szCs w:val="20"/>
              </w:rPr>
              <w:outlineLvl w:val="3"/>
            </w:pPr>
            <w:r>
              <w:rPr>
                <w:color w:val="auto"/>
                <w:sz w:val="20"/>
                <w:szCs w:val="20"/>
              </w:rPr>
              <w:t xml:space="preserve">81.3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Муниципальный заказчик координатор :администрация Бутурлинского муниципального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5,00000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5,00000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71</w:t>
            </w:r>
            <w:r>
              <w:rPr>
                <w:sz w:val="20"/>
                <w:szCs w:val="20"/>
              </w:rPr>
              <w:t xml:space="preserve">,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color w:val="auto"/>
                <w:sz w:val="20"/>
                <w:szCs w:val="20"/>
              </w:rPr>
              <w:outlineLvl w:val="3"/>
            </w:pPr>
            <w:r>
              <w:rPr>
                <w:color w:val="auto"/>
                <w:sz w:val="20"/>
                <w:szCs w:val="20"/>
              </w:rPr>
              <w:t xml:space="preserve">81.3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Основное мероприятие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Формирование системы обращения с отходами производства и потребления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673,97514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2153,913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6089,97356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3939,12495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851,0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833,8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color w:val="auto"/>
                <w:sz w:val="20"/>
                <w:szCs w:val="20"/>
              </w:rPr>
              <w:outlineLvl w:val="3"/>
            </w:pPr>
            <w:r>
              <w:rPr>
                <w:color w:val="auto"/>
                <w:sz w:val="20"/>
                <w:szCs w:val="20"/>
              </w:rPr>
              <w:t xml:space="preserve">16188,712151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Муниципальный заказчик координатор :администрация Бутурлинского муниципального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673,97514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2153,913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6089,97356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3939,12495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851,0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833,8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r>
              <w:rPr>
                <w:color w:val="auto"/>
                <w:sz w:val="20"/>
                <w:szCs w:val="20"/>
              </w:rPr>
              <w:t xml:space="preserve">16188,712151</w:t>
            </w:r>
            <w:r>
              <w:rPr>
                <w:color w:val="auto"/>
                <w:sz w:val="20"/>
                <w:szCs w:val="20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Основное мероприятие 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Сохранение и развитие водных объектов общего пользования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692,00395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692</w:t>
            </w:r>
            <w:r>
              <w:rPr>
                <w:sz w:val="20"/>
                <w:szCs w:val="20"/>
              </w:rPr>
              <w:t xml:space="preserve">,00395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Муниципальный заказчик координатор :администрация Бутурлинского муниципального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692,00395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692</w:t>
            </w:r>
            <w:r>
              <w:rPr>
                <w:sz w:val="20"/>
                <w:szCs w:val="20"/>
              </w:rPr>
              <w:t xml:space="preserve">,00395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Основное мероприятие 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Формирование экологической культуры населения Бутурлинского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Муниципальный заказчик координатор :администрация Бутурлинского муниципального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Основное мероприятие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vMerge w:val="restart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Обеспечение реализации Программы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Муниципальный заказчик координатор :администрация Бутурлинского муниципального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0,000000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7"/>
        <w:ind w:left="-567" w:firstLine="540"/>
        <w:jc w:val="right"/>
        <w:widowControl w:val="off"/>
        <w:outlineLvl w:val="3"/>
      </w:pPr>
      <w:r>
        <w:t xml:space="preserve">Таблица 5</w:t>
      </w:r>
      <w:r/>
    </w:p>
    <w:p>
      <w:pPr>
        <w:pStyle w:val="979"/>
        <w:ind w:firstLine="0"/>
        <w:jc w:val="both"/>
        <w:widowControl/>
        <w:tabs>
          <w:tab w:val="center" w:pos="5244" w:leader="none"/>
        </w:tabs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8"/>
        <w:jc w:val="center"/>
        <w:rPr>
          <w:b/>
          <w:bCs/>
        </w:rPr>
      </w:pPr>
      <w:r>
        <w:t xml:space="preserve">  </w:t>
      </w:r>
      <w:r>
        <w:rPr>
          <w:b/>
          <w:bCs/>
        </w:rPr>
        <w:t xml:space="preserve">2.10.2. Прогнозная оценка расходов на реализацию </w:t>
      </w:r>
      <w:r>
        <w:rPr>
          <w:b/>
          <w:bCs/>
        </w:rPr>
      </w:r>
      <w:r>
        <w:rPr>
          <w:b/>
          <w:bCs/>
        </w:rPr>
      </w:r>
    </w:p>
    <w:p>
      <w:pPr>
        <w:pStyle w:val="978"/>
        <w:jc w:val="center"/>
        <w:rPr>
          <w:b/>
          <w:bCs/>
        </w:rPr>
      </w:pPr>
      <w:r>
        <w:rPr>
          <w:b/>
          <w:bCs/>
        </w:rPr>
        <w:t xml:space="preserve">Программы за счет всех источников</w:t>
      </w:r>
      <w:r>
        <w:rPr>
          <w:b/>
          <w:bCs/>
        </w:rPr>
      </w:r>
      <w:r>
        <w:rPr>
          <w:b/>
          <w:bCs/>
        </w:rPr>
      </w:r>
    </w:p>
    <w:tbl>
      <w:tblPr>
        <w:tblpPr w:horzAnchor="margin" w:tblpXSpec="center" w:vertAnchor="text" w:tblpY="246" w:leftFromText="180" w:topFromText="0" w:rightFromText="180" w:bottomFromText="0"/>
        <w:tblW w:w="105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415"/>
        <w:gridCol w:w="1387"/>
        <w:gridCol w:w="1417"/>
        <w:gridCol w:w="992"/>
        <w:gridCol w:w="851"/>
        <w:gridCol w:w="850"/>
        <w:gridCol w:w="851"/>
        <w:gridCol w:w="709"/>
        <w:gridCol w:w="708"/>
        <w:gridCol w:w="676"/>
        <w:gridCol w:w="6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top"/>
            <w:vMerge w:val="restart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Статус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57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vMerge w:val="restart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Наименование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Источники финансирования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Оценка расходы по годам (тыс.руб.)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b/>
                <w:color w:val="000000"/>
              </w:rPr>
              <w:framePr w:hSpace="180" w:wrap="around" w:vAnchor="text" w:hAnchor="margin" w:xAlign="center" w:y="246"/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b/>
                <w:color w:val="000000"/>
              </w:rPr>
              <w:framePr w:hSpace="180" w:wrap="around" w:vAnchor="text" w:hAnchor="margin" w:xAlign="center" w:y="246"/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rPr>
                <w:b/>
              </w:rPr>
              <w:framePr w:hSpace="180" w:wrap="around" w:vAnchor="text" w:hAnchor="margin" w:xAlign="center" w:y="246"/>
            </w:pPr>
            <w:r>
              <w:rPr>
                <w:b/>
              </w:rPr>
              <w:t xml:space="preserve">2028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top"/>
            <w:vMerge w:val="restart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Наименование муниципальной программы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vMerge w:val="restart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«Охрана окружающей среды в Бутурлинском  муниципальном округе Нижегородской области»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всего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678,97514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5279,21300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13243,874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rPr>
                <w:color w:val="000000"/>
              </w:rPr>
              <w:t xml:space="preserve">11804,15395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922,30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5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1028,6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Align w:val="top"/>
            <w:textDirection w:val="lrTb"/>
            <w:noWrap w:val="false"/>
          </w:tcPr>
          <w:p>
            <w:pPr>
              <w:pStyle w:val="979"/>
              <w:ind w:firstLine="0"/>
              <w:spacing w:before="100" w:beforeAutospacing="1" w:after="100" w:afterAutospacing="1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1018,3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823,5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top"/>
            <w:vMerge w:val="continue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vMerge w:val="continue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расходы федерального бюджета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8"/>
              <w:rPr>
                <w:color w:val="ff0000"/>
              </w:rPr>
              <w:framePr w:hSpace="180" w:wrap="around" w:vAnchor="text" w:hAnchor="margin" w:xAlign="center" w:y="246"/>
            </w:pPr>
            <w:r>
              <w:t xml:space="preserve">0,00000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0,00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  <w:framePr w:hSpace="180" w:wrap="around" w:vAnchor="text" w:hAnchor="margin" w:xAlign="center" w:y="246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  <w:framePr w:hSpace="180" w:wrap="around" w:vAnchor="text" w:hAnchor="margin" w:xAlign="center" w:y="246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расходы областного бюджета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678,97514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3320,30000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7153,9005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7865,029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194,8,00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194,8,00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0,00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  <w:framePr w:hSpace="180" w:wrap="around" w:vAnchor="text" w:hAnchor="margin" w:xAlign="center" w:y="246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  <w:framePr w:hSpace="180" w:wrap="around" w:vAnchor="text" w:hAnchor="margin" w:xAlign="center" w:y="246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расходы </w:t>
            </w:r>
            <w:r/>
          </w:p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 бюджета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2158,913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6089,9735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3939,12495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922,300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4"/>
                <w:szCs w:val="24"/>
              </w:rPr>
              <w:t xml:space="preserve">833,8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4"/>
                <w:szCs w:val="24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rPr>
                <w:sz w:val="20"/>
                <w:szCs w:val="20"/>
              </w:rPr>
              <w:outlineLvl w:val="3"/>
            </w:pPr>
            <w:r>
              <w:rPr>
                <w:sz w:val="24"/>
                <w:szCs w:val="24"/>
              </w:rPr>
              <w:t xml:space="preserve">823,5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  <w:framePr w:hSpace="180" w:wrap="around" w:vAnchor="text" w:hAnchor="margin" w:xAlign="center" w:y="246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  <w:framePr w:hSpace="180" w:wrap="around" w:vAnchor="text" w:hAnchor="margin" w:xAlign="center" w:y="246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прочие источники (собственные средства)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8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Align w:val="top"/>
            <w:textDirection w:val="lrTb"/>
            <w:noWrap w:val="false"/>
          </w:tcPr>
          <w:p>
            <w:pPr>
              <w:pStyle w:val="978"/>
              <w:jc w:val="center"/>
              <w:framePr w:hSpace="180" w:wrap="around" w:vAnchor="text" w:hAnchor="margin" w:xAlign="center" w:y="246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57"/>
              <w:widowControl w:val="off"/>
              <w:outlineLvl w:val="3"/>
            </w:pPr>
            <w:r>
              <w:t xml:space="preserve">0,00</w:t>
            </w:r>
            <w:r/>
          </w:p>
        </w:tc>
      </w:tr>
    </w:tbl>
    <w:p>
      <w:pPr>
        <w:pStyle w:val="978"/>
        <w:jc w:val="center"/>
      </w:pPr>
      <w:r/>
      <w:r/>
    </w:p>
    <w:p>
      <w:pPr>
        <w:pStyle w:val="978"/>
      </w:pPr>
      <w:r/>
      <w:r/>
    </w:p>
    <w:p>
      <w:pPr>
        <w:pStyle w:val="979"/>
        <w:ind w:firstLine="0"/>
        <w:jc w:val="center"/>
        <w:widowControl/>
        <w:tabs>
          <w:tab w:val="left" w:pos="3015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2.11. Анализ рисков реализации Программы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79"/>
        <w:ind w:firstLine="0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78"/>
        <w:ind w:firstLine="300"/>
        <w:jc w:val="both"/>
      </w:pPr>
      <w:r>
        <w:t xml:space="preserve"> При реализации Программы на достижение ее стратегических целей может повлиять риск недофинансирования мероприятий Программы.</w:t>
      </w:r>
      <w:r/>
    </w:p>
    <w:p>
      <w:pPr>
        <w:pStyle w:val="978"/>
        <w:ind w:firstLine="300"/>
        <w:jc w:val="both"/>
      </w:pPr>
      <w:r>
        <w:t xml:space="preserve"> Риск недофинансирования мероприятий Программы связан с несоответствием выделенных районных денежных средств на реализацию мероприятий.</w:t>
      </w:r>
      <w:r/>
    </w:p>
    <w:p>
      <w:pPr>
        <w:pStyle w:val="978"/>
        <w:ind w:firstLine="300"/>
        <w:jc w:val="both"/>
      </w:pPr>
      <w:r>
        <w:t xml:space="preserve"> Риски недофинансирования указанных мероприятий и принятия неэффективных управленческих решений могут оказать отрицательное воздействие на эффективность реализации Программы в целом.</w:t>
      </w:r>
      <w:r/>
    </w:p>
    <w:p>
      <w:pPr>
        <w:pStyle w:val="978"/>
        <w:ind w:firstLine="300"/>
        <w:jc w:val="both"/>
      </w:pPr>
      <w:r>
        <w:t xml:space="preserve"> Учитывая, что при реализации мероприятий Программы будет сформирована система текущего управления, координации и контроля, риск принятия неэффективных управленческих решений будет минимален.</w:t>
      </w:r>
      <w:r/>
    </w:p>
    <w:p>
      <w:pPr>
        <w:pStyle w:val="978"/>
        <w:ind w:firstLine="300"/>
        <w:jc w:val="both"/>
        <w:rPr>
          <w:b/>
        </w:rPr>
      </w:pPr>
      <w:r>
        <w:t xml:space="preserve">                             </w:t>
      </w:r>
      <w:r>
        <w:rPr>
          <w:b/>
        </w:rPr>
      </w:r>
      <w:r>
        <w:rPr>
          <w:b/>
        </w:rPr>
      </w:r>
    </w:p>
    <w:p>
      <w:pPr>
        <w:pStyle w:val="978"/>
        <w:jc w:val="center"/>
      </w:pPr>
      <w:r>
        <w:rPr>
          <w:b/>
          <w:bCs/>
        </w:rPr>
        <w:t xml:space="preserve">3 Расходы на обеспечение создания условий для реализации Программы</w:t>
      </w:r>
      <w:r/>
    </w:p>
    <w:p>
      <w:pPr>
        <w:pStyle w:val="978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78"/>
        <w:jc w:val="center"/>
      </w:pPr>
      <w:r>
        <w:t xml:space="preserve">Аналитическое распределение средств районного бюджета подпрограммы "Обеспечение реализации Программы"  (тыс. рублей)</w:t>
      </w:r>
      <w:r/>
    </w:p>
    <w:p>
      <w:pPr>
        <w:pStyle w:val="978"/>
        <w:jc w:val="right"/>
      </w:pPr>
      <w:r>
        <w:t xml:space="preserve">Таблица 6</w:t>
      </w:r>
      <w:r/>
    </w:p>
    <w:tbl>
      <w:tblPr>
        <w:tblW w:w="10342" w:type="dxa"/>
        <w:tblInd w:w="-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69"/>
        <w:gridCol w:w="1766"/>
        <w:gridCol w:w="535"/>
        <w:gridCol w:w="535"/>
        <w:gridCol w:w="567"/>
        <w:gridCol w:w="567"/>
        <w:gridCol w:w="709"/>
        <w:gridCol w:w="567"/>
        <w:gridCol w:w="425"/>
        <w:gridCol w:w="567"/>
        <w:gridCol w:w="567"/>
        <w:gridCol w:w="642"/>
        <w:gridCol w:w="493"/>
        <w:gridCol w:w="5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top"/>
            <w:vMerge w:val="restart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6" w:type="dxa"/>
            <w:vAlign w:val="top"/>
            <w:vMerge w:val="restart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Наименование муниципальной программы, подпрограммы муниципальной программы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4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Код бюджетной классификации</w:t>
            </w:r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0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Расходы </w:t>
            </w:r>
            <w:r/>
          </w:p>
          <w:p>
            <w:pPr>
              <w:pStyle w:val="978"/>
              <w:jc w:val="center"/>
            </w:pPr>
            <w:r>
              <w:t xml:space="preserve">(тыс. руб.),</w:t>
            </w:r>
            <w:r/>
          </w:p>
          <w:p>
            <w:pPr>
              <w:pStyle w:val="978"/>
              <w:jc w:val="center"/>
            </w:pPr>
            <w:r>
              <w:t xml:space="preserve">годы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6" w:type="dxa"/>
            <w:vAlign w:val="center"/>
            <w:vMerge w:val="continue"/>
            <w:textDirection w:val="lrTb"/>
            <w:noWrap w:val="false"/>
          </w:tcPr>
          <w:p>
            <w:pPr>
              <w:pStyle w:val="957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ГРБС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РзПр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ЦСР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ВР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top"/>
            <w:textDirection w:val="btLr"/>
            <w:noWrap w:val="false"/>
          </w:tcPr>
          <w:p>
            <w:pPr>
              <w:pStyle w:val="978"/>
              <w:ind w:left="113" w:right="113"/>
              <w:jc w:val="center"/>
            </w:pPr>
            <w:r>
              <w:t xml:space="preserve">2028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6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Муниципаль</w:t>
            </w:r>
            <w:r/>
          </w:p>
          <w:p>
            <w:pPr>
              <w:pStyle w:val="978"/>
              <w:jc w:val="center"/>
            </w:pPr>
            <w:r>
              <w:t xml:space="preserve">ная</w:t>
            </w:r>
            <w:r/>
          </w:p>
          <w:p>
            <w:pPr>
              <w:pStyle w:val="978"/>
              <w:jc w:val="center"/>
            </w:pPr>
            <w:r>
              <w:t xml:space="preserve">программа</w:t>
            </w:r>
            <w:r/>
          </w:p>
          <w:p>
            <w:pPr>
              <w:pStyle w:val="978"/>
              <w:jc w:val="center"/>
            </w:pPr>
            <w:r>
              <w:t xml:space="preserve">(всего)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6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Обеспечение</w:t>
            </w:r>
            <w:r/>
          </w:p>
          <w:p>
            <w:pPr>
              <w:pStyle w:val="978"/>
              <w:jc w:val="center"/>
            </w:pPr>
            <w:r>
              <w:t xml:space="preserve">реализации</w:t>
            </w:r>
            <w:r/>
          </w:p>
          <w:p>
            <w:pPr>
              <w:pStyle w:val="978"/>
              <w:jc w:val="center"/>
            </w:pPr>
            <w:r>
              <w:t xml:space="preserve">муниципальной</w:t>
            </w:r>
            <w:r/>
          </w:p>
          <w:p>
            <w:pPr>
              <w:pStyle w:val="978"/>
              <w:jc w:val="center"/>
            </w:pPr>
            <w:r>
              <w:t xml:space="preserve">программы</w:t>
            </w:r>
            <w:r/>
          </w:p>
          <w:p>
            <w:pPr>
              <w:pStyle w:val="978"/>
              <w:jc w:val="center"/>
            </w:pPr>
            <w:r>
              <w:t xml:space="preserve">«Охрана </w:t>
            </w:r>
            <w:r/>
          </w:p>
          <w:p>
            <w:pPr>
              <w:pStyle w:val="978"/>
              <w:jc w:val="center"/>
            </w:pPr>
            <w:r>
              <w:t xml:space="preserve">окружающей</w:t>
            </w:r>
            <w:r/>
          </w:p>
          <w:p>
            <w:pPr>
              <w:pStyle w:val="978"/>
              <w:jc w:val="center"/>
            </w:pPr>
            <w:r>
              <w:t xml:space="preserve">среды в Бутурлинском</w:t>
            </w:r>
            <w:r/>
          </w:p>
          <w:p>
            <w:pPr>
              <w:pStyle w:val="978"/>
              <w:jc w:val="center"/>
            </w:pPr>
            <w:r>
              <w:t xml:space="preserve">муниципальном</w:t>
            </w:r>
            <w:r/>
          </w:p>
          <w:p>
            <w:pPr>
              <w:pStyle w:val="978"/>
              <w:jc w:val="center"/>
            </w:pPr>
            <w:r>
              <w:t xml:space="preserve">округе</w:t>
            </w:r>
            <w:r/>
          </w:p>
          <w:p>
            <w:pPr>
              <w:pStyle w:val="978"/>
              <w:jc w:val="center"/>
            </w:pPr>
            <w:r>
              <w:rPr>
                <w:bCs/>
              </w:rPr>
              <w:t xml:space="preserve">Нижегородской области"</w:t>
            </w:r>
            <w:r/>
          </w:p>
          <w:p>
            <w:pPr>
              <w:pStyle w:val="978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Align w:val="top"/>
            <w:textDirection w:val="lrTb"/>
            <w:noWrap w:val="false"/>
          </w:tcPr>
          <w:p>
            <w:pPr>
              <w:pStyle w:val="97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top"/>
            <w:textDirection w:val="lrTb"/>
            <w:noWrap w:val="false"/>
          </w:tcPr>
          <w:p>
            <w:pPr>
              <w:pStyle w:val="978"/>
              <w:jc w:val="center"/>
            </w:pPr>
            <w:r>
              <w:t xml:space="preserve">0,00</w:t>
            </w:r>
            <w:r/>
          </w:p>
        </w:tc>
      </w:tr>
    </w:tbl>
    <w:p>
      <w:pPr>
        <w:pStyle w:val="978"/>
        <w:jc w:val="center"/>
      </w:pPr>
      <w:r/>
      <w:r/>
    </w:p>
    <w:p>
      <w:pPr>
        <w:pStyle w:val="978"/>
        <w:jc w:val="center"/>
      </w:pPr>
      <w:r/>
      <w:r/>
    </w:p>
    <w:p>
      <w:pPr>
        <w:pStyle w:val="978"/>
        <w:jc w:val="center"/>
      </w:pPr>
      <w:r>
        <w:rPr>
          <w:b/>
          <w:bCs/>
        </w:rPr>
        <w:t xml:space="preserve">4. Оценка эффективности Программы</w:t>
      </w:r>
      <w:r/>
    </w:p>
    <w:p>
      <w:pPr>
        <w:pStyle w:val="978"/>
        <w:jc w:val="center"/>
      </w:pPr>
      <w:r/>
      <w:r/>
    </w:p>
    <w:p>
      <w:pPr>
        <w:pStyle w:val="978"/>
        <w:ind w:firstLine="300"/>
        <w:jc w:val="both"/>
      </w:pPr>
      <w:r>
        <w:t xml:space="preserve"> В результате реализации Программы будет достигнут ряд положительных социальных и экономических эффектов, выразившихся в повышении уровня охраны окружающей среды, безопасности жизни и здоровья граждан, обеспечении инвестиционной привлек</w:t>
      </w:r>
      <w:r>
        <w:t xml:space="preserve">ательности Бутурлинского  муниципального округа</w:t>
      </w:r>
      <w:r>
        <w:t xml:space="preserve"> в целом.</w:t>
      </w:r>
      <w:r/>
    </w:p>
    <w:p>
      <w:pPr>
        <w:pStyle w:val="978"/>
        <w:ind w:firstLine="300"/>
        <w:jc w:val="both"/>
      </w:pPr>
      <w:r>
        <w:t xml:space="preserve"> Эффективность Программы будет обеспечена за счет применения программно-целевого метода управления муниципальной программой.</w:t>
      </w:r>
      <w:r/>
    </w:p>
    <w:sectPr>
      <w:headerReference w:type="default" r:id="rId12"/>
      <w:headerReference w:type="even" r:id="rId13"/>
      <w:footnotePr/>
      <w:endnotePr/>
      <w:type w:val="nextPage"/>
      <w:pgSz w:w="11906" w:h="16838" w:orient="portrait"/>
      <w:pgMar w:top="624" w:right="794" w:bottom="624" w:left="136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Calibri">
    <w:panose1 w:val="020F0502020204030204"/>
  </w:font>
  <w:font w:name="Arial">
    <w:panose1 w:val="020B0604020202020204"/>
  </w:font>
  <w:font w:name="Courier New">
    <w:panose1 w:val="020703090202050204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rPr>
        <w:rStyle w:val="965"/>
      </w:rPr>
      <w:framePr w:wrap="around" w:vAnchor="text" w:hAnchor="margin" w:xAlign="center" w:y="1"/>
    </w:pPr>
    <w:r>
      <w:rPr>
        <w:rStyle w:val="965"/>
      </w:rPr>
      <w:fldChar w:fldCharType="begin"/>
    </w:r>
    <w:r>
      <w:rPr>
        <w:rStyle w:val="965"/>
      </w:rPr>
      <w:instrText xml:space="preserve">PAGE  </w:instrText>
    </w:r>
    <w:r>
      <w:rPr>
        <w:rStyle w:val="965"/>
      </w:rPr>
      <w:fldChar w:fldCharType="separate"/>
    </w:r>
    <w:r>
      <w:rPr>
        <w:rStyle w:val="965"/>
      </w:rPr>
      <w:t xml:space="preserve">21</w:t>
    </w:r>
    <w:r>
      <w:rPr>
        <w:rStyle w:val="965"/>
      </w:rPr>
      <w:fldChar w:fldCharType="end"/>
    </w:r>
    <w:r>
      <w:rPr>
        <w:rStyle w:val="965"/>
      </w:rPr>
    </w:r>
    <w:r>
      <w:rPr>
        <w:rStyle w:val="965"/>
      </w:rPr>
    </w:r>
  </w:p>
  <w:p>
    <w:pPr>
      <w:pStyle w:val="961"/>
    </w:pPr>
    <w:r/>
    <w:r/>
  </w:p>
  <w:p>
    <w:pPr>
      <w:pStyle w:val="961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rPr>
        <w:rStyle w:val="965"/>
      </w:rPr>
      <w:framePr w:wrap="around" w:vAnchor="text" w:hAnchor="margin" w:xAlign="center" w:y="1"/>
    </w:pPr>
    <w:r>
      <w:rPr>
        <w:rStyle w:val="965"/>
      </w:rPr>
      <w:fldChar w:fldCharType="begin"/>
    </w:r>
    <w:r>
      <w:rPr>
        <w:rStyle w:val="965"/>
      </w:rPr>
      <w:instrText xml:space="preserve">PAGE  </w:instrText>
    </w:r>
    <w:r>
      <w:rPr>
        <w:rStyle w:val="965"/>
      </w:rPr>
      <w:fldChar w:fldCharType="end"/>
    </w:r>
    <w:r>
      <w:rPr>
        <w:rStyle w:val="965"/>
      </w:rPr>
    </w:r>
    <w:r>
      <w:rPr>
        <w:rStyle w:val="965"/>
      </w:rPr>
    </w:r>
  </w:p>
  <w:p>
    <w:pPr>
      <w:pStyle w:val="96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1050" w:hanging="1050"/>
        <w:tabs>
          <w:tab w:val="num" w:pos="1050" w:leader="none"/>
        </w:tabs>
      </w:pPr>
    </w:lvl>
    <w:lvl w:ilvl="1">
      <w:start w:val="3"/>
      <w:numFmt w:val="decimal"/>
      <w:isLgl w:val="false"/>
      <w:suff w:val="tab"/>
      <w:lvlText w:val="%1.%2"/>
      <w:lvlJc w:val="left"/>
      <w:pPr>
        <w:ind w:left="1410" w:hanging="1050"/>
        <w:tabs>
          <w:tab w:val="num" w:pos="141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770" w:hanging="1050"/>
        <w:tabs>
          <w:tab w:val="num" w:pos="177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  <w:tabs>
          <w:tab w:val="num" w:pos="50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5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1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7" w:hanging="360"/>
      </w:pPr>
      <w:rPr>
        <w:rFonts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3710" w:hanging="181"/>
      </w:pPr>
      <w:rPr>
        <w:rFonts w:ascii="Times New Roman" w:hAnsi="Times New Roman" w:eastAsia="Times New Roman" w:cs="Times New Roman"/>
        <w:b/>
        <w:bCs/>
        <w:sz w:val="22"/>
        <w:szCs w:val="22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4502" w:hanging="181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5285" w:hanging="181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068" w:hanging="181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851" w:hanging="181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634" w:hanging="181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417" w:hanging="181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200" w:hanging="181"/>
      </w:pPr>
      <w:rPr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40" w:hanging="180"/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1">
    <w:name w:val="Heading 1"/>
    <w:basedOn w:val="957"/>
    <w:next w:val="957"/>
    <w:link w:val="78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82">
    <w:name w:val="Heading 1 Char"/>
    <w:link w:val="78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83">
    <w:name w:val="Heading 2"/>
    <w:basedOn w:val="957"/>
    <w:next w:val="957"/>
    <w:link w:val="78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84">
    <w:name w:val="Heading 2 Char"/>
    <w:link w:val="783"/>
    <w:uiPriority w:val="9"/>
    <w:rPr>
      <w:rFonts w:ascii="Liberation Sans" w:hAnsi="Liberation Sans" w:eastAsia="Liberation Sans" w:cs="Liberation Sans"/>
      <w:sz w:val="34"/>
    </w:rPr>
  </w:style>
  <w:style w:type="paragraph" w:styleId="785">
    <w:name w:val="Heading 3"/>
    <w:basedOn w:val="957"/>
    <w:next w:val="957"/>
    <w:link w:val="78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86">
    <w:name w:val="Heading 3 Char"/>
    <w:link w:val="78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87">
    <w:name w:val="Heading 4"/>
    <w:basedOn w:val="957"/>
    <w:next w:val="957"/>
    <w:link w:val="78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88">
    <w:name w:val="Heading 4 Char"/>
    <w:link w:val="78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89">
    <w:name w:val="Heading 5"/>
    <w:basedOn w:val="957"/>
    <w:next w:val="957"/>
    <w:link w:val="79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90">
    <w:name w:val="Heading 5 Char"/>
    <w:link w:val="7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91">
    <w:name w:val="Heading 6"/>
    <w:basedOn w:val="957"/>
    <w:next w:val="957"/>
    <w:link w:val="79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92">
    <w:name w:val="Heading 6 Char"/>
    <w:link w:val="79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93">
    <w:name w:val="Heading 7"/>
    <w:basedOn w:val="957"/>
    <w:next w:val="957"/>
    <w:link w:val="79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94">
    <w:name w:val="Heading 7 Char"/>
    <w:link w:val="79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95">
    <w:name w:val="Heading 8"/>
    <w:basedOn w:val="957"/>
    <w:next w:val="957"/>
    <w:link w:val="79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96">
    <w:name w:val="Heading 8 Char"/>
    <w:link w:val="7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97">
    <w:name w:val="Heading 9"/>
    <w:basedOn w:val="957"/>
    <w:next w:val="957"/>
    <w:link w:val="79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98">
    <w:name w:val="Heading 9 Char"/>
    <w:link w:val="7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99">
    <w:name w:val="Title"/>
    <w:basedOn w:val="957"/>
    <w:next w:val="957"/>
    <w:link w:val="8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0">
    <w:name w:val="Title Char"/>
    <w:link w:val="799"/>
    <w:uiPriority w:val="10"/>
    <w:rPr>
      <w:sz w:val="48"/>
      <w:szCs w:val="48"/>
    </w:rPr>
  </w:style>
  <w:style w:type="paragraph" w:styleId="801">
    <w:name w:val="Subtitle"/>
    <w:basedOn w:val="957"/>
    <w:next w:val="957"/>
    <w:link w:val="802"/>
    <w:uiPriority w:val="11"/>
    <w:qFormat/>
    <w:pPr>
      <w:spacing w:before="200" w:after="200"/>
    </w:pPr>
    <w:rPr>
      <w:sz w:val="24"/>
      <w:szCs w:val="24"/>
    </w:rPr>
  </w:style>
  <w:style w:type="character" w:styleId="802">
    <w:name w:val="Subtitle Char"/>
    <w:link w:val="801"/>
    <w:uiPriority w:val="11"/>
    <w:rPr>
      <w:sz w:val="24"/>
      <w:szCs w:val="24"/>
    </w:rPr>
  </w:style>
  <w:style w:type="paragraph" w:styleId="803">
    <w:name w:val="Quote"/>
    <w:basedOn w:val="957"/>
    <w:next w:val="957"/>
    <w:link w:val="804"/>
    <w:uiPriority w:val="29"/>
    <w:qFormat/>
    <w:pPr>
      <w:ind w:left="720" w:right="720"/>
    </w:pPr>
    <w:rPr>
      <w:i/>
    </w:rPr>
  </w:style>
  <w:style w:type="character" w:styleId="804">
    <w:name w:val="Quote Char"/>
    <w:link w:val="803"/>
    <w:uiPriority w:val="29"/>
    <w:rPr>
      <w:i/>
    </w:rPr>
  </w:style>
  <w:style w:type="paragraph" w:styleId="805">
    <w:name w:val="Intense Quote"/>
    <w:basedOn w:val="957"/>
    <w:next w:val="957"/>
    <w:link w:val="8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6">
    <w:name w:val="Intense Quote Char"/>
    <w:link w:val="805"/>
    <w:uiPriority w:val="30"/>
    <w:rPr>
      <w:i/>
    </w:rPr>
  </w:style>
  <w:style w:type="paragraph" w:styleId="807">
    <w:name w:val="Header"/>
    <w:basedOn w:val="957"/>
    <w:link w:val="8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8">
    <w:name w:val="Header Char"/>
    <w:link w:val="807"/>
    <w:uiPriority w:val="99"/>
  </w:style>
  <w:style w:type="paragraph" w:styleId="809">
    <w:name w:val="Footer"/>
    <w:basedOn w:val="957"/>
    <w:link w:val="8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0">
    <w:name w:val="Footer Char"/>
    <w:link w:val="809"/>
    <w:uiPriority w:val="99"/>
  </w:style>
  <w:style w:type="paragraph" w:styleId="811">
    <w:name w:val="Caption"/>
    <w:basedOn w:val="957"/>
    <w:next w:val="957"/>
    <w:link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2">
    <w:name w:val="Caption Char"/>
    <w:link w:val="811"/>
    <w:uiPriority w:val="35"/>
    <w:rPr>
      <w:b/>
      <w:bCs/>
      <w:color w:val="4f81bd" w:themeColor="accent1"/>
      <w:sz w:val="18"/>
      <w:szCs w:val="18"/>
    </w:rPr>
  </w:style>
  <w:style w:type="table" w:styleId="8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9">
    <w:name w:val="Hyperlink"/>
    <w:uiPriority w:val="99"/>
    <w:unhideWhenUsed/>
    <w:rPr>
      <w:color w:val="0000ff" w:themeColor="hyperlink"/>
      <w:u w:val="single"/>
    </w:rPr>
  </w:style>
  <w:style w:type="paragraph" w:styleId="940">
    <w:name w:val="footnote text"/>
    <w:basedOn w:val="957"/>
    <w:link w:val="941"/>
    <w:uiPriority w:val="99"/>
    <w:semiHidden/>
    <w:unhideWhenUsed/>
    <w:pPr>
      <w:spacing w:after="40" w:line="240" w:lineRule="auto"/>
    </w:pPr>
    <w:rPr>
      <w:sz w:val="18"/>
    </w:rPr>
  </w:style>
  <w:style w:type="character" w:styleId="941">
    <w:name w:val="Footnote Text Char"/>
    <w:link w:val="940"/>
    <w:uiPriority w:val="99"/>
    <w:rPr>
      <w:sz w:val="18"/>
    </w:rPr>
  </w:style>
  <w:style w:type="character" w:styleId="942">
    <w:name w:val="footnote reference"/>
    <w:uiPriority w:val="99"/>
    <w:unhideWhenUsed/>
    <w:rPr>
      <w:vertAlign w:val="superscript"/>
    </w:rPr>
  </w:style>
  <w:style w:type="paragraph" w:styleId="943">
    <w:name w:val="endnote text"/>
    <w:basedOn w:val="957"/>
    <w:link w:val="944"/>
    <w:uiPriority w:val="99"/>
    <w:semiHidden/>
    <w:unhideWhenUsed/>
    <w:pPr>
      <w:spacing w:after="0" w:line="240" w:lineRule="auto"/>
    </w:pPr>
    <w:rPr>
      <w:sz w:val="20"/>
    </w:rPr>
  </w:style>
  <w:style w:type="character" w:styleId="944">
    <w:name w:val="Endnote Text Char"/>
    <w:link w:val="943"/>
    <w:uiPriority w:val="99"/>
    <w:rPr>
      <w:sz w:val="20"/>
    </w:rPr>
  </w:style>
  <w:style w:type="character" w:styleId="945">
    <w:name w:val="endnote reference"/>
    <w:uiPriority w:val="99"/>
    <w:semiHidden/>
    <w:unhideWhenUsed/>
    <w:rPr>
      <w:vertAlign w:val="superscript"/>
    </w:rPr>
  </w:style>
  <w:style w:type="paragraph" w:styleId="946">
    <w:name w:val="toc 1"/>
    <w:basedOn w:val="957"/>
    <w:next w:val="957"/>
    <w:uiPriority w:val="39"/>
    <w:unhideWhenUsed/>
    <w:pPr>
      <w:ind w:left="0" w:right="0" w:firstLine="0"/>
      <w:spacing w:after="57"/>
    </w:pPr>
  </w:style>
  <w:style w:type="paragraph" w:styleId="947">
    <w:name w:val="toc 2"/>
    <w:basedOn w:val="957"/>
    <w:next w:val="957"/>
    <w:uiPriority w:val="39"/>
    <w:unhideWhenUsed/>
    <w:pPr>
      <w:ind w:left="283" w:right="0" w:firstLine="0"/>
      <w:spacing w:after="57"/>
    </w:pPr>
  </w:style>
  <w:style w:type="paragraph" w:styleId="948">
    <w:name w:val="toc 3"/>
    <w:basedOn w:val="957"/>
    <w:next w:val="957"/>
    <w:uiPriority w:val="39"/>
    <w:unhideWhenUsed/>
    <w:pPr>
      <w:ind w:left="567" w:right="0" w:firstLine="0"/>
      <w:spacing w:after="57"/>
    </w:pPr>
  </w:style>
  <w:style w:type="paragraph" w:styleId="949">
    <w:name w:val="toc 4"/>
    <w:basedOn w:val="957"/>
    <w:next w:val="957"/>
    <w:uiPriority w:val="39"/>
    <w:unhideWhenUsed/>
    <w:pPr>
      <w:ind w:left="850" w:right="0" w:firstLine="0"/>
      <w:spacing w:after="57"/>
    </w:pPr>
  </w:style>
  <w:style w:type="paragraph" w:styleId="950">
    <w:name w:val="toc 5"/>
    <w:basedOn w:val="957"/>
    <w:next w:val="957"/>
    <w:uiPriority w:val="39"/>
    <w:unhideWhenUsed/>
    <w:pPr>
      <w:ind w:left="1134" w:right="0" w:firstLine="0"/>
      <w:spacing w:after="57"/>
    </w:pPr>
  </w:style>
  <w:style w:type="paragraph" w:styleId="951">
    <w:name w:val="toc 6"/>
    <w:basedOn w:val="957"/>
    <w:next w:val="957"/>
    <w:uiPriority w:val="39"/>
    <w:unhideWhenUsed/>
    <w:pPr>
      <w:ind w:left="1417" w:right="0" w:firstLine="0"/>
      <w:spacing w:after="57"/>
    </w:pPr>
  </w:style>
  <w:style w:type="paragraph" w:styleId="952">
    <w:name w:val="toc 7"/>
    <w:basedOn w:val="957"/>
    <w:next w:val="957"/>
    <w:uiPriority w:val="39"/>
    <w:unhideWhenUsed/>
    <w:pPr>
      <w:ind w:left="1701" w:right="0" w:firstLine="0"/>
      <w:spacing w:after="57"/>
    </w:pPr>
  </w:style>
  <w:style w:type="paragraph" w:styleId="953">
    <w:name w:val="toc 8"/>
    <w:basedOn w:val="957"/>
    <w:next w:val="957"/>
    <w:uiPriority w:val="39"/>
    <w:unhideWhenUsed/>
    <w:pPr>
      <w:ind w:left="1984" w:right="0" w:firstLine="0"/>
      <w:spacing w:after="57"/>
    </w:pPr>
  </w:style>
  <w:style w:type="paragraph" w:styleId="954">
    <w:name w:val="toc 9"/>
    <w:basedOn w:val="957"/>
    <w:next w:val="957"/>
    <w:uiPriority w:val="39"/>
    <w:unhideWhenUsed/>
    <w:pPr>
      <w:ind w:left="2268" w:right="0" w:firstLine="0"/>
      <w:spacing w:after="57"/>
    </w:pPr>
  </w:style>
  <w:style w:type="paragraph" w:styleId="955">
    <w:name w:val="TOC Heading"/>
    <w:uiPriority w:val="39"/>
    <w:unhideWhenUsed/>
  </w:style>
  <w:style w:type="paragraph" w:styleId="956">
    <w:name w:val="table of figures"/>
    <w:basedOn w:val="957"/>
    <w:next w:val="957"/>
    <w:uiPriority w:val="99"/>
    <w:unhideWhenUsed/>
    <w:pPr>
      <w:spacing w:after="0" w:afterAutospacing="0"/>
    </w:pPr>
  </w:style>
  <w:style w:type="paragraph" w:styleId="957" w:default="1">
    <w:name w:val="Normal"/>
    <w:next w:val="957"/>
    <w:link w:val="957"/>
    <w:qFormat/>
    <w:rPr>
      <w:sz w:val="24"/>
      <w:szCs w:val="24"/>
      <w:lang w:val="ru-RU" w:eastAsia="ru-RU" w:bidi="ar-SA"/>
    </w:rPr>
  </w:style>
  <w:style w:type="character" w:styleId="958">
    <w:name w:val="Основной шрифт абзаца"/>
    <w:next w:val="958"/>
    <w:link w:val="957"/>
    <w:semiHidden/>
  </w:style>
  <w:style w:type="table" w:styleId="959">
    <w:name w:val="Обычная таблица"/>
    <w:next w:val="959"/>
    <w:link w:val="957"/>
    <w:semiHidden/>
    <w:tblPr/>
  </w:style>
  <w:style w:type="numbering" w:styleId="960">
    <w:name w:val="Нет списка"/>
    <w:next w:val="960"/>
    <w:link w:val="957"/>
    <w:uiPriority w:val="99"/>
    <w:semiHidden/>
  </w:style>
  <w:style w:type="paragraph" w:styleId="961">
    <w:name w:val="Верхний колонтитул"/>
    <w:basedOn w:val="957"/>
    <w:next w:val="961"/>
    <w:link w:val="962"/>
    <w:pPr>
      <w:tabs>
        <w:tab w:val="center" w:pos="4536" w:leader="none"/>
        <w:tab w:val="right" w:pos="9072" w:leader="none"/>
      </w:tabs>
    </w:pPr>
    <w:rPr>
      <w:szCs w:val="20"/>
    </w:rPr>
  </w:style>
  <w:style w:type="character" w:styleId="962">
    <w:name w:val="Верхний колонтитул Знак"/>
    <w:next w:val="962"/>
    <w:link w:val="961"/>
    <w:rPr>
      <w:sz w:val="24"/>
      <w:lang w:val="ru-RU" w:eastAsia="ru-RU" w:bidi="ar-SA"/>
    </w:rPr>
  </w:style>
  <w:style w:type="paragraph" w:styleId="963">
    <w:name w:val="Основной текст"/>
    <w:basedOn w:val="957"/>
    <w:next w:val="963"/>
    <w:link w:val="964"/>
    <w:rPr>
      <w:sz w:val="28"/>
    </w:rPr>
  </w:style>
  <w:style w:type="character" w:styleId="964">
    <w:name w:val="Основной текст Знак"/>
    <w:next w:val="964"/>
    <w:link w:val="963"/>
    <w:rPr>
      <w:sz w:val="28"/>
      <w:szCs w:val="24"/>
      <w:lang w:val="ru-RU" w:eastAsia="ru-RU" w:bidi="ar-SA"/>
    </w:rPr>
  </w:style>
  <w:style w:type="character" w:styleId="965">
    <w:name w:val="Номер страницы"/>
    <w:basedOn w:val="958"/>
    <w:next w:val="965"/>
    <w:link w:val="957"/>
  </w:style>
  <w:style w:type="table" w:styleId="966">
    <w:name w:val="Сетка таблицы"/>
    <w:basedOn w:val="959"/>
    <w:next w:val="966"/>
    <w:link w:val="957"/>
    <w:tblPr/>
  </w:style>
  <w:style w:type="paragraph" w:styleId="967">
    <w:name w:val="Текст выноски"/>
    <w:basedOn w:val="957"/>
    <w:next w:val="967"/>
    <w:link w:val="968"/>
    <w:semiHidden/>
    <w:rPr>
      <w:rFonts w:ascii="Tahoma" w:hAnsi="Tahoma" w:cs="Tahoma"/>
      <w:sz w:val="16"/>
      <w:szCs w:val="16"/>
    </w:rPr>
  </w:style>
  <w:style w:type="character" w:styleId="968">
    <w:name w:val="Текст выноски Знак"/>
    <w:next w:val="968"/>
    <w:link w:val="967"/>
    <w:semiHidden/>
    <w:rPr>
      <w:rFonts w:ascii="Tahoma" w:hAnsi="Tahoma" w:cs="Tahoma"/>
      <w:sz w:val="16"/>
      <w:szCs w:val="16"/>
    </w:rPr>
  </w:style>
  <w:style w:type="paragraph" w:styleId="969">
    <w:name w:val="Нижний колонтитул"/>
    <w:basedOn w:val="957"/>
    <w:next w:val="969"/>
    <w:link w:val="970"/>
    <w:pPr>
      <w:tabs>
        <w:tab w:val="center" w:pos="4677" w:leader="none"/>
        <w:tab w:val="right" w:pos="9355" w:leader="none"/>
      </w:tabs>
    </w:pPr>
  </w:style>
  <w:style w:type="character" w:styleId="970">
    <w:name w:val="Нижний колонтитул Знак"/>
    <w:next w:val="970"/>
    <w:link w:val="969"/>
    <w:rPr>
      <w:sz w:val="24"/>
      <w:szCs w:val="24"/>
    </w:rPr>
  </w:style>
  <w:style w:type="paragraph" w:styleId="971">
    <w:name w:val="ConsPlusTitle"/>
    <w:next w:val="971"/>
    <w:link w:val="957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972">
    <w:name w:val="Текст сноски"/>
    <w:basedOn w:val="957"/>
    <w:next w:val="972"/>
    <w:link w:val="973"/>
    <w:semiHidden/>
    <w:rPr>
      <w:sz w:val="20"/>
      <w:szCs w:val="20"/>
    </w:rPr>
  </w:style>
  <w:style w:type="character" w:styleId="973">
    <w:name w:val="Текст сноски Знак"/>
    <w:basedOn w:val="958"/>
    <w:next w:val="973"/>
    <w:link w:val="972"/>
    <w:semiHidden/>
  </w:style>
  <w:style w:type="character" w:styleId="974">
    <w:name w:val="Знак сноски"/>
    <w:next w:val="974"/>
    <w:link w:val="957"/>
    <w:semiHidden/>
    <w:rPr>
      <w:vertAlign w:val="superscript"/>
    </w:rPr>
  </w:style>
  <w:style w:type="paragraph" w:styleId="975">
    <w:name w:val="ConsPlusNonformat"/>
    <w:next w:val="975"/>
    <w:link w:val="957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76">
    <w:name w:val="ConsPlusCell"/>
    <w:next w:val="976"/>
    <w:link w:val="957"/>
    <w:pPr>
      <w:widowControl w:val="off"/>
    </w:pPr>
    <w:rPr>
      <w:rFonts w:ascii="Arial" w:hAnsi="Arial" w:cs="Arial"/>
      <w:lang w:val="ru-RU" w:eastAsia="ru-RU" w:bidi="ar-SA"/>
    </w:rPr>
  </w:style>
  <w:style w:type="character" w:styleId="977">
    <w:name w:val="Гиперссылка"/>
    <w:next w:val="977"/>
    <w:link w:val="957"/>
    <w:rPr>
      <w:color w:val="0000ff"/>
      <w:u w:val="single"/>
    </w:rPr>
  </w:style>
  <w:style w:type="paragraph" w:styleId="978">
    <w:name w:val="Нормальный"/>
    <w:next w:val="978"/>
    <w:link w:val="957"/>
    <w:pPr>
      <w:widowControl w:val="off"/>
    </w:pPr>
    <w:rPr>
      <w:color w:val="000000"/>
      <w:sz w:val="24"/>
      <w:szCs w:val="24"/>
      <w:lang w:val="ru-RU" w:eastAsia="ru-RU" w:bidi="ar-SA"/>
    </w:rPr>
  </w:style>
  <w:style w:type="paragraph" w:styleId="979">
    <w:name w:val="ConsPlusNormal"/>
    <w:next w:val="979"/>
    <w:link w:val="957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80">
    <w:name w:val="Абзац списка"/>
    <w:basedOn w:val="957"/>
    <w:next w:val="980"/>
    <w:link w:val="957"/>
    <w:uiPriority w:val="1"/>
    <w:qFormat/>
    <w:pPr>
      <w:contextualSpacing/>
      <w:ind w:left="720"/>
    </w:pPr>
  </w:style>
  <w:style w:type="paragraph" w:styleId="981">
    <w:name w:val="List Paragraph"/>
    <w:basedOn w:val="957"/>
    <w:next w:val="981"/>
    <w:link w:val="957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982">
    <w:name w:val="No Spacing"/>
    <w:next w:val="982"/>
    <w:link w:val="957"/>
    <w:rPr>
      <w:rFonts w:ascii="Calibri" w:hAnsi="Calibri"/>
      <w:sz w:val="22"/>
      <w:szCs w:val="22"/>
      <w:lang w:val="ru-RU" w:eastAsia="en-US" w:bidi="ar-SA"/>
    </w:rPr>
  </w:style>
  <w:style w:type="paragraph" w:styleId="983">
    <w:name w:val="msonormalcxspmiddle"/>
    <w:basedOn w:val="957"/>
    <w:next w:val="983"/>
    <w:link w:val="957"/>
    <w:pPr>
      <w:spacing w:before="100" w:beforeAutospacing="1" w:after="100" w:afterAutospacing="1"/>
    </w:pPr>
  </w:style>
  <w:style w:type="paragraph" w:styleId="984">
    <w:name w:val="msonormalcxsplast"/>
    <w:basedOn w:val="957"/>
    <w:next w:val="984"/>
    <w:link w:val="957"/>
    <w:pPr>
      <w:spacing w:before="100" w:beforeAutospacing="1" w:after="100" w:afterAutospacing="1"/>
    </w:pPr>
  </w:style>
  <w:style w:type="paragraph" w:styleId="985">
    <w:name w:val="Основной текст с отступом"/>
    <w:basedOn w:val="957"/>
    <w:next w:val="985"/>
    <w:link w:val="986"/>
    <w:pPr>
      <w:ind w:left="283"/>
      <w:spacing w:after="120"/>
    </w:pPr>
  </w:style>
  <w:style w:type="character" w:styleId="986">
    <w:name w:val="Основной текст с отступом Знак"/>
    <w:next w:val="986"/>
    <w:link w:val="985"/>
    <w:rPr>
      <w:sz w:val="24"/>
      <w:szCs w:val="24"/>
    </w:rPr>
  </w:style>
  <w:style w:type="paragraph" w:styleId="987">
    <w:name w:val="Схема документа"/>
    <w:basedOn w:val="957"/>
    <w:next w:val="987"/>
    <w:link w:val="988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988">
    <w:name w:val="Схема документа Знак"/>
    <w:next w:val="988"/>
    <w:link w:val="987"/>
    <w:semiHidden/>
    <w:rPr>
      <w:rFonts w:ascii="Tahoma" w:hAnsi="Tahoma" w:cs="Tahoma"/>
      <w:shd w:val="clear" w:color="auto" w:fill="000080"/>
    </w:rPr>
  </w:style>
  <w:style w:type="paragraph" w:styleId="989">
    <w:name w:val="msonormalcxspmiddlecxsplast"/>
    <w:basedOn w:val="957"/>
    <w:next w:val="989"/>
    <w:link w:val="957"/>
    <w:pPr>
      <w:spacing w:before="100" w:beforeAutospacing="1" w:after="100" w:afterAutospacing="1"/>
    </w:pPr>
  </w:style>
  <w:style w:type="paragraph" w:styleId="990">
    <w:name w:val="msonormalcxspmiddlecxspmiddle"/>
    <w:basedOn w:val="957"/>
    <w:next w:val="990"/>
    <w:link w:val="957"/>
    <w:pPr>
      <w:spacing w:before="100" w:beforeAutospacing="1" w:after="100" w:afterAutospacing="1"/>
    </w:pPr>
  </w:style>
  <w:style w:type="paragraph" w:styleId="991">
    <w:name w:val="Обычный (веб)"/>
    <w:basedOn w:val="957"/>
    <w:next w:val="991"/>
    <w:link w:val="957"/>
    <w:pPr>
      <w:spacing w:before="100" w:beforeAutospacing="1" w:after="100" w:afterAutospacing="1"/>
    </w:pPr>
  </w:style>
  <w:style w:type="paragraph" w:styleId="992">
    <w:name w:val="Название"/>
    <w:basedOn w:val="957"/>
    <w:next w:val="992"/>
    <w:link w:val="993"/>
    <w:uiPriority w:val="1"/>
    <w:qFormat/>
    <w:pPr>
      <w:ind w:left="2737"/>
      <w:widowControl w:val="off"/>
    </w:pPr>
    <w:rPr>
      <w:b/>
      <w:bCs/>
      <w:sz w:val="32"/>
      <w:szCs w:val="32"/>
      <w:lang w:eastAsia="en-US"/>
    </w:rPr>
  </w:style>
  <w:style w:type="character" w:styleId="993">
    <w:name w:val="Название Знак"/>
    <w:next w:val="993"/>
    <w:link w:val="992"/>
    <w:uiPriority w:val="1"/>
    <w:rPr>
      <w:b/>
      <w:bCs/>
      <w:sz w:val="32"/>
      <w:szCs w:val="32"/>
      <w:lang w:eastAsia="en-US"/>
    </w:rPr>
  </w:style>
  <w:style w:type="character" w:styleId="994" w:default="1">
    <w:name w:val="Default Paragraph Font"/>
    <w:uiPriority w:val="1"/>
    <w:semiHidden/>
    <w:unhideWhenUsed/>
  </w:style>
  <w:style w:type="numbering" w:styleId="995" w:default="1">
    <w:name w:val="No List"/>
    <w:uiPriority w:val="99"/>
    <w:semiHidden/>
    <w:unhideWhenUsed/>
  </w:style>
  <w:style w:type="table" w:styleId="9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</dc:creator>
  <cp:lastModifiedBy>ekonomika-3</cp:lastModifiedBy>
  <cp:revision>16</cp:revision>
  <dcterms:created xsi:type="dcterms:W3CDTF">2025-11-17T11:44:00Z</dcterms:created>
  <dcterms:modified xsi:type="dcterms:W3CDTF">2026-07-01T05:44:02Z</dcterms:modified>
  <cp:version>983040</cp:version>
</cp:coreProperties>
</file>